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atLeast"/>
        <w:jc w:val="center"/>
        <w:rPr>
          <w:rFonts w:hint="eastAsia" w:ascii="彩虹小标宋" w:eastAsia="彩虹小标宋" w:cs="彩虹小标宋"/>
          <w:snapToGrid w:val="0"/>
          <w:kern w:val="0"/>
          <w:sz w:val="44"/>
          <w:szCs w:val="44"/>
        </w:rPr>
      </w:pPr>
    </w:p>
    <w:p>
      <w:pPr>
        <w:adjustRightInd w:val="0"/>
        <w:snapToGrid w:val="0"/>
        <w:spacing w:line="640" w:lineRule="atLeast"/>
        <w:jc w:val="center"/>
        <w:rPr>
          <w:rFonts w:ascii="彩虹小标宋" w:eastAsia="彩虹小标宋"/>
          <w:snapToGrid w:val="0"/>
          <w:kern w:val="0"/>
          <w:sz w:val="44"/>
          <w:szCs w:val="44"/>
        </w:rPr>
      </w:pPr>
      <w:r>
        <w:rPr>
          <w:rFonts w:hint="eastAsia" w:ascii="彩虹小标宋" w:eastAsia="彩虹小标宋" w:cs="彩虹小标宋"/>
          <w:snapToGrid w:val="0"/>
          <w:kern w:val="0"/>
          <w:sz w:val="44"/>
          <w:szCs w:val="44"/>
        </w:rPr>
        <w:t>中国建设银行龙卡信用卡章程</w:t>
      </w:r>
    </w:p>
    <w:p>
      <w:pPr>
        <w:adjustRightInd w:val="0"/>
        <w:snapToGrid w:val="0"/>
        <w:spacing w:line="640" w:lineRule="atLeast"/>
        <w:jc w:val="center"/>
        <w:rPr>
          <w:rFonts w:ascii="彩虹楷体" w:eastAsia="彩虹楷体" w:cs="彩虹小标宋"/>
          <w:b/>
          <w:snapToGrid w:val="0"/>
          <w:kern w:val="0"/>
        </w:rPr>
      </w:pPr>
      <w:r>
        <w:rPr>
          <w:rFonts w:hint="eastAsia" w:ascii="彩虹楷体" w:eastAsia="彩虹楷体" w:cs="彩虹小标宋"/>
          <w:b/>
          <w:snapToGrid w:val="0"/>
          <w:kern w:val="0"/>
        </w:rPr>
        <w:t>（2024年版）</w:t>
      </w:r>
    </w:p>
    <w:p>
      <w:pPr>
        <w:pStyle w:val="8"/>
        <w:widowControl w:val="0"/>
        <w:adjustRightInd w:val="0"/>
        <w:snapToGrid w:val="0"/>
        <w:spacing w:before="0" w:beforeAutospacing="0" w:after="0" w:afterAutospacing="0" w:line="587" w:lineRule="atLeast"/>
        <w:jc w:val="center"/>
        <w:rPr>
          <w:rFonts w:ascii="彩虹黑体" w:eastAsia="彩虹黑体" w:cs="彩虹黑体"/>
          <w:snapToGrid w:val="0"/>
          <w:sz w:val="36"/>
          <w:szCs w:val="36"/>
        </w:rPr>
      </w:pPr>
    </w:p>
    <w:p>
      <w:pPr>
        <w:pStyle w:val="8"/>
        <w:widowControl w:val="0"/>
        <w:adjustRightInd w:val="0"/>
        <w:snapToGrid w:val="0"/>
        <w:spacing w:before="0" w:beforeAutospacing="0" w:after="0" w:afterAutospacing="0" w:line="587" w:lineRule="atLeast"/>
        <w:jc w:val="center"/>
        <w:rPr>
          <w:rFonts w:ascii="彩虹黑体" w:eastAsia="彩虹黑体"/>
          <w:snapToGrid w:val="0"/>
          <w:sz w:val="36"/>
          <w:szCs w:val="36"/>
        </w:rPr>
      </w:pPr>
      <w:r>
        <w:rPr>
          <w:rFonts w:hint="eastAsia" w:ascii="彩虹黑体" w:eastAsia="彩虹黑体" w:cs="彩虹黑体"/>
          <w:snapToGrid w:val="0"/>
          <w:sz w:val="36"/>
          <w:szCs w:val="36"/>
        </w:rPr>
        <w:t>目  录</w:t>
      </w:r>
    </w:p>
    <w:p>
      <w:pPr>
        <w:adjustRightInd w:val="0"/>
        <w:snapToGrid w:val="0"/>
        <w:spacing w:line="587" w:lineRule="atLeast"/>
        <w:jc w:val="center"/>
        <w:rPr>
          <w:rFonts w:ascii="彩虹小标宋" w:eastAsia="彩虹小标宋"/>
          <w:snapToGrid w:val="0"/>
          <w:kern w:val="0"/>
        </w:rPr>
      </w:pPr>
    </w:p>
    <w:p>
      <w:pPr>
        <w:pStyle w:val="8"/>
        <w:widowControl w:val="0"/>
        <w:adjustRightInd w:val="0"/>
        <w:snapToGrid w:val="0"/>
        <w:spacing w:before="0" w:beforeAutospacing="0" w:after="0" w:afterAutospacing="0" w:line="587" w:lineRule="atLeast"/>
        <w:ind w:firstLine="2560" w:firstLineChars="800"/>
        <w:jc w:val="both"/>
        <w:rPr>
          <w:rFonts w:ascii="彩虹粗仿宋" w:hAnsi="Times New Roman" w:eastAsia="彩虹粗仿宋"/>
          <w:snapToGrid w:val="0"/>
          <w:sz w:val="32"/>
          <w:szCs w:val="32"/>
        </w:rPr>
      </w:pPr>
      <w:r>
        <w:rPr>
          <w:rFonts w:hint="eastAsia" w:ascii="彩虹粗仿宋" w:hAnsi="Times New Roman" w:eastAsia="彩虹粗仿宋" w:cs="彩虹粗仿宋"/>
          <w:snapToGrid w:val="0"/>
          <w:sz w:val="32"/>
          <w:szCs w:val="32"/>
        </w:rPr>
        <w:t>第一章  总则</w:t>
      </w:r>
    </w:p>
    <w:p>
      <w:pPr>
        <w:pStyle w:val="8"/>
        <w:widowControl w:val="0"/>
        <w:adjustRightInd w:val="0"/>
        <w:snapToGrid w:val="0"/>
        <w:spacing w:before="0" w:beforeAutospacing="0" w:after="0" w:afterAutospacing="0" w:line="587" w:lineRule="atLeast"/>
        <w:ind w:firstLine="2560" w:firstLineChars="800"/>
        <w:jc w:val="both"/>
        <w:rPr>
          <w:rFonts w:ascii="彩虹粗仿宋" w:hAnsi="Times New Roman" w:eastAsia="彩虹粗仿宋"/>
          <w:snapToGrid w:val="0"/>
          <w:sz w:val="32"/>
          <w:szCs w:val="32"/>
        </w:rPr>
      </w:pPr>
      <w:r>
        <w:rPr>
          <w:rFonts w:hint="eastAsia" w:ascii="彩虹粗仿宋" w:hAnsi="Times New Roman" w:eastAsia="彩虹粗仿宋" w:cs="彩虹粗仿宋"/>
          <w:snapToGrid w:val="0"/>
          <w:sz w:val="32"/>
          <w:szCs w:val="32"/>
        </w:rPr>
        <w:t>第二章  申领</w:t>
      </w:r>
    </w:p>
    <w:p>
      <w:pPr>
        <w:pStyle w:val="8"/>
        <w:widowControl w:val="0"/>
        <w:adjustRightInd w:val="0"/>
        <w:snapToGrid w:val="0"/>
        <w:spacing w:before="0" w:beforeAutospacing="0" w:after="0" w:afterAutospacing="0" w:line="587" w:lineRule="atLeast"/>
        <w:ind w:firstLine="2560" w:firstLineChars="800"/>
        <w:jc w:val="both"/>
        <w:rPr>
          <w:rFonts w:ascii="彩虹粗仿宋" w:hAnsi="Times New Roman" w:eastAsia="彩虹粗仿宋"/>
          <w:snapToGrid w:val="0"/>
          <w:sz w:val="32"/>
          <w:szCs w:val="32"/>
        </w:rPr>
      </w:pPr>
      <w:r>
        <w:rPr>
          <w:rFonts w:hint="eastAsia" w:ascii="彩虹粗仿宋" w:hAnsi="Times New Roman" w:eastAsia="彩虹粗仿宋" w:cs="彩虹粗仿宋"/>
          <w:snapToGrid w:val="0"/>
          <w:sz w:val="32"/>
          <w:szCs w:val="32"/>
        </w:rPr>
        <w:t>第三章  使用</w:t>
      </w:r>
    </w:p>
    <w:p>
      <w:pPr>
        <w:pStyle w:val="8"/>
        <w:widowControl w:val="0"/>
        <w:adjustRightInd w:val="0"/>
        <w:snapToGrid w:val="0"/>
        <w:spacing w:before="0" w:beforeAutospacing="0" w:after="0" w:afterAutospacing="0" w:line="587" w:lineRule="atLeast"/>
        <w:ind w:firstLine="2560" w:firstLineChars="800"/>
        <w:jc w:val="both"/>
        <w:rPr>
          <w:rFonts w:ascii="彩虹粗仿宋" w:hAnsi="Times New Roman" w:eastAsia="彩虹粗仿宋"/>
          <w:snapToGrid w:val="0"/>
          <w:sz w:val="32"/>
          <w:szCs w:val="32"/>
        </w:rPr>
      </w:pPr>
      <w:r>
        <w:rPr>
          <w:rFonts w:hint="eastAsia" w:ascii="彩虹粗仿宋" w:hAnsi="Times New Roman" w:eastAsia="彩虹粗仿宋" w:cs="彩虹粗仿宋"/>
          <w:snapToGrid w:val="0"/>
          <w:sz w:val="32"/>
          <w:szCs w:val="32"/>
        </w:rPr>
        <w:t>第四章  计息、还款及账户管理</w:t>
      </w:r>
    </w:p>
    <w:p>
      <w:pPr>
        <w:pStyle w:val="8"/>
        <w:widowControl w:val="0"/>
        <w:adjustRightInd w:val="0"/>
        <w:snapToGrid w:val="0"/>
        <w:spacing w:before="0" w:beforeAutospacing="0" w:after="0" w:afterAutospacing="0" w:line="587" w:lineRule="atLeast"/>
        <w:ind w:firstLine="2560" w:firstLineChars="800"/>
        <w:jc w:val="both"/>
        <w:rPr>
          <w:rFonts w:ascii="彩虹粗仿宋" w:hAnsi="Times New Roman" w:eastAsia="彩虹粗仿宋"/>
          <w:snapToGrid w:val="0"/>
          <w:sz w:val="32"/>
          <w:szCs w:val="32"/>
        </w:rPr>
      </w:pPr>
      <w:r>
        <w:rPr>
          <w:rFonts w:hint="eastAsia" w:ascii="彩虹粗仿宋" w:hAnsi="Times New Roman" w:eastAsia="彩虹粗仿宋" w:cs="彩虹粗仿宋"/>
          <w:snapToGrid w:val="0"/>
          <w:sz w:val="32"/>
          <w:szCs w:val="32"/>
        </w:rPr>
        <w:t>第五章  本行的权利和义务</w:t>
      </w:r>
    </w:p>
    <w:p>
      <w:pPr>
        <w:pStyle w:val="8"/>
        <w:widowControl w:val="0"/>
        <w:adjustRightInd w:val="0"/>
        <w:snapToGrid w:val="0"/>
        <w:spacing w:before="0" w:beforeAutospacing="0" w:after="0" w:afterAutospacing="0" w:line="587" w:lineRule="atLeast"/>
        <w:ind w:firstLine="2560" w:firstLineChars="800"/>
        <w:jc w:val="both"/>
        <w:rPr>
          <w:rFonts w:ascii="彩虹粗仿宋" w:hAnsi="Times New Roman" w:eastAsia="彩虹粗仿宋"/>
          <w:snapToGrid w:val="0"/>
          <w:sz w:val="32"/>
          <w:szCs w:val="32"/>
        </w:rPr>
      </w:pPr>
      <w:r>
        <w:rPr>
          <w:rFonts w:hint="eastAsia" w:ascii="彩虹粗仿宋" w:hAnsi="Times New Roman" w:eastAsia="彩虹粗仿宋" w:cs="彩虹粗仿宋"/>
          <w:snapToGrid w:val="0"/>
          <w:sz w:val="32"/>
          <w:szCs w:val="32"/>
        </w:rPr>
        <w:t>第六章  持卡人的权利和义务</w:t>
      </w:r>
    </w:p>
    <w:p>
      <w:pPr>
        <w:pStyle w:val="8"/>
        <w:widowControl w:val="0"/>
        <w:adjustRightInd w:val="0"/>
        <w:snapToGrid w:val="0"/>
        <w:spacing w:before="0" w:beforeAutospacing="0" w:after="0" w:afterAutospacing="0" w:line="587" w:lineRule="atLeast"/>
        <w:ind w:firstLine="2560" w:firstLineChars="800"/>
        <w:jc w:val="both"/>
        <w:rPr>
          <w:rFonts w:ascii="彩虹粗仿宋" w:hAnsi="Times New Roman" w:eastAsia="彩虹粗仿宋" w:cs="彩虹粗仿宋"/>
          <w:snapToGrid w:val="0"/>
          <w:sz w:val="32"/>
          <w:szCs w:val="32"/>
        </w:rPr>
      </w:pPr>
      <w:r>
        <w:rPr>
          <w:rFonts w:hint="eastAsia" w:ascii="彩虹粗仿宋" w:hAnsi="Times New Roman" w:eastAsia="彩虹粗仿宋" w:cs="彩虹粗仿宋"/>
          <w:snapToGrid w:val="0"/>
          <w:sz w:val="32"/>
          <w:szCs w:val="32"/>
        </w:rPr>
        <w:t>第七章  附则</w:t>
      </w:r>
    </w:p>
    <w:p>
      <w:pPr>
        <w:pStyle w:val="8"/>
        <w:widowControl w:val="0"/>
        <w:adjustRightInd w:val="0"/>
        <w:snapToGrid w:val="0"/>
        <w:spacing w:before="0" w:beforeAutospacing="0" w:after="0" w:afterAutospacing="0" w:line="587" w:lineRule="atLeast"/>
        <w:ind w:firstLine="1977" w:firstLineChars="618"/>
        <w:jc w:val="both"/>
        <w:rPr>
          <w:rFonts w:ascii="彩虹粗仿宋" w:hAnsi="Times New Roman" w:eastAsia="彩虹粗仿宋"/>
          <w:snapToGrid w:val="0"/>
          <w:sz w:val="32"/>
          <w:szCs w:val="32"/>
        </w:rPr>
      </w:pPr>
    </w:p>
    <w:p>
      <w:pPr>
        <w:adjustRightInd w:val="0"/>
        <w:snapToGrid w:val="0"/>
        <w:spacing w:line="587" w:lineRule="atLeast"/>
        <w:jc w:val="center"/>
        <w:rPr>
          <w:rFonts w:hint="eastAsia" w:ascii="彩虹小标宋" w:hAnsi="Webdings" w:eastAsia="彩虹小标宋"/>
          <w:snapToGrid w:val="0"/>
          <w:kern w:val="0"/>
        </w:rPr>
      </w:pPr>
      <w:r>
        <w:rPr>
          <w:rFonts w:hint="eastAsia"/>
          <w:snapToGrid w:val="0"/>
          <w:kern w:val="0"/>
        </w:rPr>
        <w:br w:type="page"/>
      </w:r>
      <w:r>
        <w:rPr>
          <w:rFonts w:hint="eastAsia" w:ascii="彩虹小标宋" w:eastAsia="彩虹小标宋" w:cs="彩虹黑体"/>
          <w:snapToGrid w:val="0"/>
          <w:kern w:val="0"/>
        </w:rPr>
        <w:t xml:space="preserve">第一章  </w:t>
      </w:r>
      <w:r>
        <w:rPr>
          <w:rFonts w:hint="eastAsia" w:ascii="彩虹小标宋" w:hAnsi="Webdings" w:eastAsia="彩虹小标宋" w:cs="彩虹黑体"/>
          <w:snapToGrid w:val="0"/>
          <w:kern w:val="0"/>
        </w:rPr>
        <w:t>总  则</w:t>
      </w:r>
    </w:p>
    <w:p>
      <w:pPr>
        <w:adjustRightInd w:val="0"/>
        <w:snapToGrid w:val="0"/>
        <w:spacing w:line="587" w:lineRule="atLeast"/>
        <w:ind w:firstLine="642" w:firstLineChars="200"/>
        <w:rPr>
          <w:b/>
          <w:bCs/>
          <w:snapToGrid w:val="0"/>
          <w:kern w:val="0"/>
        </w:rPr>
      </w:pPr>
    </w:p>
    <w:p>
      <w:pPr>
        <w:adjustRightInd w:val="0"/>
        <w:snapToGrid w:val="0"/>
        <w:spacing w:line="587" w:lineRule="atLeast"/>
        <w:ind w:firstLine="640" w:firstLineChars="200"/>
        <w:rPr>
          <w:snapToGrid w:val="0"/>
          <w:kern w:val="0"/>
        </w:rPr>
      </w:pPr>
      <w:r>
        <w:rPr>
          <w:rFonts w:hint="eastAsia" w:ascii="彩虹黑体" w:eastAsia="彩虹黑体"/>
          <w:snapToGrid w:val="0"/>
          <w:kern w:val="0"/>
          <w:lang w:val="zh-CN"/>
        </w:rPr>
        <w:t>第一条</w:t>
      </w:r>
      <w:r>
        <w:rPr>
          <w:rFonts w:hint="eastAsia"/>
          <w:snapToGrid w:val="0"/>
          <w:kern w:val="0"/>
        </w:rPr>
        <w:t xml:space="preserve">  为适应信用卡业务的发展，为持卡人提供全面优质的服务，根据国家法律、法规、规章及有关规定，制定《中国建设银行龙卡信用卡章程（</w:t>
      </w:r>
      <w:r>
        <w:rPr>
          <w:rFonts w:hint="eastAsia" w:hAnsi="宋体"/>
          <w:snapToGrid w:val="0"/>
          <w:kern w:val="0"/>
        </w:rPr>
        <w:t>2024</w:t>
      </w:r>
      <w:r>
        <w:rPr>
          <w:rFonts w:hint="eastAsia"/>
          <w:snapToGrid w:val="0"/>
          <w:kern w:val="0"/>
        </w:rPr>
        <w:t>年版）》（以下简称“本章程”）。</w:t>
      </w:r>
    </w:p>
    <w:p>
      <w:pPr>
        <w:adjustRightInd w:val="0"/>
        <w:snapToGrid w:val="0"/>
        <w:spacing w:line="587" w:lineRule="atLeast"/>
        <w:ind w:firstLine="640" w:firstLineChars="200"/>
        <w:rPr>
          <w:snapToGrid w:val="0"/>
          <w:kern w:val="0"/>
        </w:rPr>
      </w:pPr>
      <w:r>
        <w:rPr>
          <w:rFonts w:hint="eastAsia" w:ascii="彩虹黑体" w:eastAsia="彩虹黑体"/>
          <w:snapToGrid w:val="0"/>
          <w:kern w:val="0"/>
          <w:lang w:val="zh-CN"/>
        </w:rPr>
        <w:t>第二条</w:t>
      </w:r>
      <w:r>
        <w:rPr>
          <w:rFonts w:hint="eastAsia"/>
          <w:b/>
          <w:snapToGrid w:val="0"/>
          <w:kern w:val="0"/>
          <w:lang w:val="zh-CN"/>
        </w:rPr>
        <w:t xml:space="preserve">  </w:t>
      </w:r>
      <w:r>
        <w:rPr>
          <w:rFonts w:hint="eastAsia"/>
          <w:snapToGrid w:val="0"/>
          <w:kern w:val="0"/>
        </w:rPr>
        <w:t>本章程所称龙卡信用卡是中国建设银行（以下简称“本行”）向社会公开发行的、持卡人可在本行核定的信用额度内先用款后还款、并可在中国境内（不含香港特别行政区、澳门特别行政区和台湾地区，下同）和境外使用的信用支付工具。龙卡信用卡具有透支消费、分期付款、预借现金等功能，本章程另作限制性规定的除外。</w:t>
      </w:r>
    </w:p>
    <w:p>
      <w:pPr>
        <w:adjustRightInd w:val="0"/>
        <w:snapToGrid w:val="0"/>
        <w:spacing w:line="587" w:lineRule="atLeast"/>
        <w:ind w:firstLine="640" w:firstLineChars="200"/>
        <w:rPr>
          <w:snapToGrid w:val="0"/>
          <w:kern w:val="0"/>
        </w:rPr>
      </w:pPr>
      <w:r>
        <w:rPr>
          <w:rFonts w:hint="eastAsia" w:ascii="彩虹黑体" w:eastAsia="彩虹黑体"/>
          <w:snapToGrid w:val="0"/>
          <w:kern w:val="0"/>
          <w:lang w:val="zh-CN"/>
        </w:rPr>
        <w:t>第三条</w:t>
      </w:r>
      <w:r>
        <w:rPr>
          <w:rFonts w:hint="eastAsia"/>
          <w:snapToGrid w:val="0"/>
          <w:kern w:val="0"/>
        </w:rPr>
        <w:t xml:space="preserve">  龙卡信用卡按发卡对象不同分为单位卡（商务卡）和个人卡，</w:t>
      </w:r>
      <w:r>
        <w:rPr>
          <w:rFonts w:hint="eastAsia"/>
          <w:snapToGrid w:val="0"/>
          <w:color w:val="000000"/>
          <w:kern w:val="0"/>
        </w:rPr>
        <w:t>其中</w:t>
      </w:r>
      <w:r>
        <w:rPr>
          <w:rFonts w:hint="eastAsia"/>
          <w:snapToGrid w:val="0"/>
          <w:kern w:val="0"/>
        </w:rPr>
        <w:t>个人卡分为主卡和附属卡；按持卡人信用等级和产品功能、服务不同分为普通卡、金卡、标准白金卡、尊享白金卡、钻石卡、智尊卡等；按信用卡组织或公司不同分为银联卡、</w:t>
      </w:r>
      <w:r>
        <w:rPr>
          <w:rFonts w:hint="eastAsia" w:hAnsi="宋体"/>
          <w:snapToGrid w:val="0"/>
          <w:kern w:val="0"/>
        </w:rPr>
        <w:t>VISA卡、MasterCard</w:t>
      </w:r>
      <w:r>
        <w:rPr>
          <w:rFonts w:hint="eastAsia"/>
          <w:snapToGrid w:val="0"/>
          <w:kern w:val="0"/>
        </w:rPr>
        <w:t>（万事达）卡、</w:t>
      </w:r>
      <w:r>
        <w:rPr>
          <w:rFonts w:hint="eastAsia" w:hAnsi="宋体"/>
          <w:snapToGrid w:val="0"/>
          <w:kern w:val="0"/>
        </w:rPr>
        <w:t>JCB卡、American Express</w:t>
      </w:r>
      <w:r>
        <w:rPr>
          <w:rFonts w:hint="eastAsia"/>
          <w:snapToGrid w:val="0"/>
          <w:kern w:val="0"/>
        </w:rPr>
        <w:t>（美国运通）卡等；按账户币种不同分为双币种信用卡和单币种信用卡；按卡片介质不同分为实体卡和虚拟卡；按信息载体不同分为磁条卡、芯片卡和磁条芯片复合卡。</w:t>
      </w:r>
    </w:p>
    <w:p>
      <w:pPr>
        <w:adjustRightInd w:val="0"/>
        <w:snapToGrid w:val="0"/>
        <w:spacing w:line="587" w:lineRule="atLeast"/>
        <w:ind w:firstLine="640" w:firstLineChars="200"/>
        <w:rPr>
          <w:snapToGrid w:val="0"/>
          <w:kern w:val="0"/>
        </w:rPr>
      </w:pPr>
      <w:r>
        <w:rPr>
          <w:rFonts w:hint="eastAsia" w:ascii="彩虹黑体" w:eastAsia="彩虹黑体"/>
          <w:snapToGrid w:val="0"/>
          <w:kern w:val="0"/>
          <w:lang w:val="zh-CN"/>
        </w:rPr>
        <w:t>第四条</w:t>
      </w:r>
      <w:r>
        <w:rPr>
          <w:rFonts w:hint="eastAsia"/>
          <w:b/>
          <w:snapToGrid w:val="0"/>
          <w:kern w:val="0"/>
          <w:lang w:val="zh-CN"/>
        </w:rPr>
        <w:t xml:space="preserve"> </w:t>
      </w:r>
      <w:r>
        <w:rPr>
          <w:rFonts w:hint="eastAsia"/>
          <w:snapToGrid w:val="0"/>
          <w:kern w:val="0"/>
        </w:rPr>
        <w:t xml:space="preserve"> 本行、持卡人、担保人和特约单位及其他相关当事人须共同遵守本章程。</w:t>
      </w:r>
    </w:p>
    <w:p>
      <w:pPr>
        <w:adjustRightInd w:val="0"/>
        <w:snapToGrid w:val="0"/>
        <w:spacing w:line="587" w:lineRule="atLeast"/>
        <w:ind w:firstLine="640" w:firstLineChars="200"/>
        <w:rPr>
          <w:snapToGrid w:val="0"/>
          <w:kern w:val="0"/>
        </w:rPr>
      </w:pPr>
      <w:r>
        <w:rPr>
          <w:rFonts w:hint="eastAsia" w:ascii="彩虹黑体" w:eastAsia="彩虹黑体"/>
          <w:snapToGrid w:val="0"/>
          <w:kern w:val="0"/>
          <w:lang w:val="zh-CN"/>
        </w:rPr>
        <w:t>第五条</w:t>
      </w:r>
      <w:r>
        <w:rPr>
          <w:rFonts w:hint="eastAsia"/>
          <w:b/>
          <w:snapToGrid w:val="0"/>
          <w:kern w:val="0"/>
          <w:lang w:val="zh-CN"/>
        </w:rPr>
        <w:t xml:space="preserve"> </w:t>
      </w:r>
      <w:r>
        <w:rPr>
          <w:rFonts w:hint="eastAsia"/>
          <w:snapToGrid w:val="0"/>
          <w:kern w:val="0"/>
        </w:rPr>
        <w:t xml:space="preserve"> 本章程涉及的部分名词遵从如下定义：</w:t>
      </w:r>
    </w:p>
    <w:p>
      <w:pPr>
        <w:pStyle w:val="3"/>
        <w:spacing w:line="587" w:lineRule="atLeast"/>
        <w:ind w:firstLine="640" w:firstLineChars="200"/>
        <w:rPr>
          <w:snapToGrid w:val="0"/>
        </w:rPr>
      </w:pPr>
      <w:r>
        <w:rPr>
          <w:rFonts w:hint="eastAsia"/>
          <w:snapToGrid w:val="0"/>
        </w:rPr>
        <w:t>“持卡人”指向本行申请并获得信用卡核发的单位或个人。单位卡持卡人应由其单位指定；个人卡持卡人包括主卡持卡人和附属卡持卡人。</w:t>
      </w:r>
    </w:p>
    <w:p>
      <w:pPr>
        <w:pStyle w:val="3"/>
        <w:spacing w:line="587" w:lineRule="atLeast"/>
        <w:ind w:firstLine="640" w:firstLineChars="200"/>
        <w:rPr>
          <w:snapToGrid w:val="0"/>
        </w:rPr>
      </w:pPr>
      <w:r>
        <w:rPr>
          <w:rFonts w:hint="eastAsia"/>
          <w:snapToGrid w:val="0"/>
        </w:rPr>
        <w:t>“信用额度”指本行根据持卡人的资信情况等为其核定的、持卡人在信用卡有效期内使用的最高授信限额，包括固定额度、临时额度、专项额度等。</w:t>
      </w:r>
    </w:p>
    <w:p>
      <w:pPr>
        <w:adjustRightInd w:val="0"/>
        <w:snapToGrid w:val="0"/>
        <w:spacing w:line="587" w:lineRule="atLeast"/>
        <w:ind w:firstLine="640" w:firstLineChars="200"/>
        <w:rPr>
          <w:snapToGrid w:val="0"/>
          <w:kern w:val="0"/>
        </w:rPr>
      </w:pPr>
      <w:r>
        <w:rPr>
          <w:rFonts w:hint="eastAsia"/>
          <w:snapToGrid w:val="0"/>
          <w:kern w:val="0"/>
        </w:rPr>
        <w:t>“分期付款”指持卡人使用龙卡信用卡购买商品或服务时，在本行提供的分期付款期数范围内，按照与本行约定的还款计划，向本行归还应还款项，直至商品或服务总价清偿完毕为止的一种交易方式。</w:t>
      </w:r>
    </w:p>
    <w:p>
      <w:pPr>
        <w:adjustRightInd w:val="0"/>
        <w:snapToGrid w:val="0"/>
        <w:spacing w:line="587" w:lineRule="atLeast"/>
        <w:ind w:firstLine="640" w:firstLineChars="200"/>
        <w:rPr>
          <w:snapToGrid w:val="0"/>
          <w:kern w:val="0"/>
        </w:rPr>
      </w:pPr>
      <w:r>
        <w:rPr>
          <w:rFonts w:hint="eastAsia"/>
          <w:snapToGrid w:val="0"/>
          <w:kern w:val="0"/>
        </w:rPr>
        <w:t>“预借现金”</w:t>
      </w:r>
      <w:r>
        <w:rPr>
          <w:rFonts w:ascii="彩虹粗仿宋" w:hAnsi="Arial" w:eastAsia="彩虹粗仿宋" w:cs="Arial"/>
          <w:color w:val="000000"/>
          <w:kern w:val="0"/>
          <w:sz w:val="32"/>
          <w:szCs w:val="32"/>
        </w:rPr>
        <w:t>指持卡人以现钞形式获取信用卡预借现金额度内资金，或将信用卡预借现金额度内资金划转至本人银行结算账户或本人在非银行支付机构开立的支付账户，并</w:t>
      </w:r>
      <w:r>
        <w:rPr>
          <w:rFonts w:hint="eastAsia" w:ascii="彩虹粗仿宋" w:hAnsi="Arial" w:eastAsia="彩虹粗仿宋" w:cs="Arial"/>
          <w:kern w:val="0"/>
          <w:sz w:val="32"/>
          <w:szCs w:val="32"/>
        </w:rPr>
        <w:t>按照与本行约定归还应还款项的业务。预借现金</w:t>
      </w:r>
      <w:r>
        <w:rPr>
          <w:rFonts w:hint="eastAsia"/>
          <w:snapToGrid w:val="0"/>
          <w:kern w:val="0"/>
        </w:rPr>
        <w:t>包括现金提取、现金转出</w:t>
      </w:r>
      <w:r>
        <w:rPr>
          <w:rFonts w:hint="eastAsia"/>
          <w:snapToGrid w:val="0"/>
          <w:kern w:val="0"/>
          <w:lang w:eastAsia="zh-CN"/>
        </w:rPr>
        <w:t>、</w:t>
      </w:r>
      <w:r>
        <w:rPr>
          <w:rFonts w:hint="eastAsia"/>
          <w:snapToGrid w:val="0"/>
          <w:kern w:val="0"/>
        </w:rPr>
        <w:t>现金充值</w:t>
      </w:r>
      <w:r>
        <w:rPr>
          <w:rFonts w:hint="eastAsia"/>
          <w:snapToGrid w:val="0"/>
          <w:kern w:val="0"/>
          <w:lang w:val="en-US" w:eastAsia="zh-CN"/>
        </w:rPr>
        <w:t>和</w:t>
      </w:r>
      <w:r>
        <w:rPr>
          <w:rFonts w:hint="eastAsia" w:ascii="彩虹粗仿宋" w:hAnsi="Arial" w:eastAsia="彩虹粗仿宋" w:cs="Arial"/>
          <w:kern w:val="0"/>
          <w:sz w:val="32"/>
          <w:szCs w:val="32"/>
        </w:rPr>
        <w:t>现金分期</w:t>
      </w:r>
      <w:r>
        <w:rPr>
          <w:rFonts w:hint="eastAsia"/>
          <w:snapToGrid w:val="0"/>
          <w:kern w:val="0"/>
        </w:rPr>
        <w:t>。</w:t>
      </w:r>
    </w:p>
    <w:p>
      <w:pPr>
        <w:adjustRightInd w:val="0"/>
        <w:snapToGrid w:val="0"/>
        <w:spacing w:line="587" w:lineRule="atLeast"/>
        <w:ind w:firstLine="640" w:firstLineChars="200"/>
        <w:rPr>
          <w:snapToGrid w:val="0"/>
          <w:kern w:val="0"/>
        </w:rPr>
      </w:pPr>
      <w:r>
        <w:rPr>
          <w:rFonts w:hint="eastAsia"/>
          <w:snapToGrid w:val="0"/>
          <w:kern w:val="0"/>
        </w:rPr>
        <w:t>“交易日”指持卡人实际用卡消费、预借现金、还款或与相关机构实际发生交易的日期。</w:t>
      </w:r>
    </w:p>
    <w:p>
      <w:pPr>
        <w:adjustRightInd w:val="0"/>
        <w:snapToGrid w:val="0"/>
        <w:spacing w:line="587" w:lineRule="atLeast"/>
        <w:ind w:firstLine="640" w:firstLineChars="200"/>
        <w:rPr>
          <w:snapToGrid w:val="0"/>
          <w:kern w:val="0"/>
        </w:rPr>
      </w:pPr>
      <w:r>
        <w:rPr>
          <w:rFonts w:hint="eastAsia"/>
          <w:snapToGrid w:val="0"/>
          <w:kern w:val="0"/>
        </w:rPr>
        <w:t>“银行记账日”指本行在持卡人发生交易后将交易款项记入其龙卡信用卡账户，或根据规定将有关费用、利息等记入其龙卡信用卡账户的日期。</w:t>
      </w:r>
    </w:p>
    <w:p>
      <w:pPr>
        <w:adjustRightInd w:val="0"/>
        <w:snapToGrid w:val="0"/>
        <w:spacing w:line="587" w:lineRule="atLeast"/>
        <w:ind w:firstLine="640" w:firstLineChars="200"/>
        <w:rPr>
          <w:snapToGrid w:val="0"/>
          <w:kern w:val="0"/>
        </w:rPr>
      </w:pPr>
      <w:r>
        <w:rPr>
          <w:rFonts w:hint="eastAsia"/>
          <w:snapToGrid w:val="0"/>
          <w:kern w:val="0"/>
        </w:rPr>
        <w:t>“账单日”指本行每月统计持卡人的累计未还交易本金，结计利息，汇总费用等，计算出持卡人当期应还款额的日期。</w:t>
      </w:r>
    </w:p>
    <w:p>
      <w:pPr>
        <w:adjustRightInd w:val="0"/>
        <w:snapToGrid w:val="0"/>
        <w:spacing w:line="587" w:lineRule="atLeast"/>
        <w:ind w:firstLine="640" w:firstLineChars="200"/>
        <w:rPr>
          <w:snapToGrid w:val="0"/>
          <w:kern w:val="0"/>
        </w:rPr>
      </w:pPr>
      <w:r>
        <w:rPr>
          <w:rFonts w:hint="eastAsia"/>
          <w:snapToGrid w:val="0"/>
          <w:kern w:val="0"/>
        </w:rPr>
        <w:t>“到期还款日”指本行规定的持卡人应该偿还其全部应还款额或最低还款额的截止日期。</w:t>
      </w:r>
    </w:p>
    <w:p>
      <w:pPr>
        <w:adjustRightInd w:val="0"/>
        <w:snapToGrid w:val="0"/>
        <w:spacing w:line="587" w:lineRule="atLeast"/>
        <w:ind w:firstLine="640" w:firstLineChars="200"/>
        <w:rPr>
          <w:snapToGrid w:val="0"/>
          <w:kern w:val="0"/>
        </w:rPr>
      </w:pPr>
      <w:r>
        <w:rPr>
          <w:rFonts w:hint="eastAsia"/>
          <w:snapToGrid w:val="0"/>
          <w:kern w:val="0"/>
        </w:rPr>
        <w:t>“还款日”指持卡人实际向本行偿还其欠款的日期。</w:t>
      </w:r>
    </w:p>
    <w:p>
      <w:pPr>
        <w:adjustRightInd w:val="0"/>
        <w:snapToGrid w:val="0"/>
        <w:spacing w:line="587" w:lineRule="atLeast"/>
        <w:ind w:firstLine="640" w:firstLineChars="200"/>
        <w:rPr>
          <w:snapToGrid w:val="0"/>
          <w:kern w:val="0"/>
        </w:rPr>
      </w:pPr>
      <w:r>
        <w:rPr>
          <w:rFonts w:hint="eastAsia"/>
          <w:snapToGrid w:val="0"/>
          <w:kern w:val="0"/>
        </w:rPr>
        <w:t>“全部应还款额”指</w:t>
      </w:r>
      <w:r>
        <w:rPr>
          <w:rFonts w:hint="eastAsia" w:hAnsi="宋体"/>
          <w:snapToGrid w:val="0"/>
          <w:kern w:val="0"/>
        </w:rPr>
        <w:t>截至当前账单日，持卡人累计未还的费用、交易本金以及利息等的总和</w:t>
      </w:r>
      <w:r>
        <w:rPr>
          <w:rFonts w:hint="eastAsia"/>
          <w:snapToGrid w:val="0"/>
          <w:kern w:val="0"/>
        </w:rPr>
        <w:t>。</w:t>
      </w:r>
    </w:p>
    <w:p>
      <w:pPr>
        <w:adjustRightInd w:val="0"/>
        <w:snapToGrid w:val="0"/>
        <w:spacing w:line="587" w:lineRule="atLeast"/>
        <w:ind w:firstLine="640" w:firstLineChars="200"/>
        <w:rPr>
          <w:snapToGrid w:val="0"/>
          <w:kern w:val="0"/>
        </w:rPr>
      </w:pPr>
      <w:r>
        <w:rPr>
          <w:rFonts w:hint="eastAsia"/>
          <w:snapToGrid w:val="0"/>
          <w:kern w:val="0"/>
        </w:rPr>
        <w:t>“最低还款额”指本行规定的持卡人在到期还款日（含）前应该偿还的最低金额，包括以前月份最低还款额未还部分，固定额度内累计未还消费的一定比例，当期新入账的费用、利息和预借现金欠款金额，当期分期付款入账本金和利息欠款金额，超过固定额度的消费欠款金额，以及本行规定持卡人应该偿还的其他欠款金额的总和。最低还款额以对账单记载为准。</w:t>
      </w:r>
    </w:p>
    <w:p>
      <w:pPr>
        <w:adjustRightInd w:val="0"/>
        <w:snapToGrid w:val="0"/>
        <w:spacing w:line="587" w:lineRule="atLeast"/>
        <w:ind w:firstLine="640" w:firstLineChars="200"/>
        <w:rPr>
          <w:snapToGrid w:val="0"/>
          <w:kern w:val="0"/>
        </w:rPr>
      </w:pPr>
      <w:r>
        <w:rPr>
          <w:rFonts w:hint="eastAsia"/>
          <w:snapToGrid w:val="0"/>
          <w:kern w:val="0"/>
        </w:rPr>
        <w:t>“免息还款期”指在持卡人于到期还款日（含）前偿还全部应还款额的前提下，可享受免息待遇的时间。</w:t>
      </w:r>
    </w:p>
    <w:p>
      <w:pPr>
        <w:adjustRightInd w:val="0"/>
        <w:snapToGrid w:val="0"/>
        <w:spacing w:line="587" w:lineRule="atLeast"/>
        <w:ind w:firstLine="640" w:firstLineChars="200"/>
        <w:rPr>
          <w:snapToGrid w:val="0"/>
          <w:kern w:val="0"/>
        </w:rPr>
      </w:pPr>
      <w:r>
        <w:rPr>
          <w:rFonts w:hint="eastAsia"/>
          <w:snapToGrid w:val="0"/>
          <w:kern w:val="0"/>
        </w:rPr>
        <w:t>“还款违约金”指当持卡人未在到期还款日（含）前还款或还款金额不足最低还款额时，按约定应向本行支付的款项。</w:t>
      </w:r>
    </w:p>
    <w:p>
      <w:pPr>
        <w:adjustRightInd w:val="0"/>
        <w:snapToGrid w:val="0"/>
        <w:spacing w:line="587" w:lineRule="atLeast"/>
        <w:ind w:firstLine="640" w:firstLineChars="200"/>
        <w:rPr>
          <w:snapToGrid w:val="0"/>
          <w:kern w:val="0"/>
        </w:rPr>
      </w:pPr>
      <w:r>
        <w:rPr>
          <w:rFonts w:hint="eastAsia"/>
          <w:snapToGrid w:val="0"/>
          <w:kern w:val="0"/>
        </w:rPr>
        <w:t>“溢缴款”指持卡人在信用卡中存入资金抵销欠款后仍有剩余的资金。</w:t>
      </w:r>
    </w:p>
    <w:p>
      <w:pPr>
        <w:adjustRightInd w:val="0"/>
        <w:snapToGrid w:val="0"/>
        <w:spacing w:line="587" w:lineRule="atLeast"/>
        <w:ind w:firstLine="640" w:firstLineChars="200"/>
        <w:rPr>
          <w:snapToGrid w:val="0"/>
          <w:kern w:val="0"/>
        </w:rPr>
      </w:pPr>
    </w:p>
    <w:p>
      <w:pPr>
        <w:adjustRightInd w:val="0"/>
        <w:snapToGrid w:val="0"/>
        <w:spacing w:line="587" w:lineRule="atLeast"/>
        <w:jc w:val="center"/>
        <w:rPr>
          <w:rFonts w:ascii="彩虹小标宋" w:eastAsia="彩虹小标宋" w:cs="彩虹黑体"/>
          <w:snapToGrid w:val="0"/>
          <w:kern w:val="0"/>
        </w:rPr>
      </w:pPr>
      <w:r>
        <w:rPr>
          <w:rFonts w:hint="eastAsia" w:ascii="彩虹小标宋" w:eastAsia="彩虹小标宋" w:cs="彩虹黑体"/>
          <w:snapToGrid w:val="0"/>
          <w:kern w:val="0"/>
        </w:rPr>
        <w:t>第二章  申  领</w:t>
      </w:r>
    </w:p>
    <w:p>
      <w:pPr>
        <w:adjustRightInd w:val="0"/>
        <w:snapToGrid w:val="0"/>
        <w:spacing w:line="587" w:lineRule="atLeast"/>
        <w:ind w:firstLine="640" w:firstLineChars="200"/>
        <w:rPr>
          <w:snapToGrid w:val="0"/>
          <w:kern w:val="0"/>
        </w:rPr>
      </w:pPr>
    </w:p>
    <w:p>
      <w:pPr>
        <w:adjustRightInd w:val="0"/>
        <w:snapToGrid w:val="0"/>
        <w:spacing w:line="587" w:lineRule="atLeast"/>
        <w:ind w:firstLine="640" w:firstLineChars="200"/>
        <w:rPr>
          <w:snapToGrid w:val="0"/>
          <w:kern w:val="0"/>
        </w:rPr>
      </w:pPr>
      <w:r>
        <w:rPr>
          <w:rFonts w:hint="eastAsia" w:ascii="彩虹黑体" w:eastAsia="彩虹黑体"/>
          <w:snapToGrid w:val="0"/>
          <w:kern w:val="0"/>
          <w:lang w:val="zh-CN"/>
        </w:rPr>
        <w:t>第六条</w:t>
      </w:r>
      <w:r>
        <w:rPr>
          <w:rFonts w:hint="eastAsia"/>
          <w:snapToGrid w:val="0"/>
          <w:kern w:val="0"/>
        </w:rPr>
        <w:t xml:space="preserve">  年满</w:t>
      </w:r>
      <w:r>
        <w:rPr>
          <w:rFonts w:hint="eastAsia" w:hAnsi="宋体"/>
          <w:snapToGrid w:val="0"/>
          <w:kern w:val="0"/>
        </w:rPr>
        <w:t>18</w:t>
      </w:r>
      <w:r>
        <w:rPr>
          <w:rFonts w:hint="eastAsia"/>
          <w:snapToGrid w:val="0"/>
          <w:kern w:val="0"/>
        </w:rPr>
        <w:t>周岁，具有完全民事行为能力和偿还能力的自然人，可凭本人有效身份证件和相关证明文件申领个人卡主卡，还可为其他具有完全民事行为能力的自然人或限制民事行为能力的自然人（必须得到其法定代理人的许可）申领附属卡。主卡持卡人可随时申请注销附属卡。</w:t>
      </w:r>
    </w:p>
    <w:p>
      <w:pPr>
        <w:adjustRightInd w:val="0"/>
        <w:snapToGrid w:val="0"/>
        <w:spacing w:line="587" w:lineRule="atLeast"/>
        <w:ind w:firstLine="642" w:firstLineChars="200"/>
        <w:rPr>
          <w:snapToGrid w:val="0"/>
          <w:kern w:val="0"/>
        </w:rPr>
      </w:pPr>
      <w:r>
        <w:rPr>
          <w:rFonts w:hint="eastAsia"/>
          <w:b/>
          <w:snapToGrid w:val="0"/>
          <w:kern w:val="0"/>
        </w:rPr>
        <w:t>附属卡所有交易款项及相应的利息、费用等均记入主卡账户，由主卡持卡人承担全部还款责任</w:t>
      </w:r>
      <w:r>
        <w:rPr>
          <w:rFonts w:hint="eastAsia"/>
          <w:snapToGrid w:val="0"/>
          <w:kern w:val="0"/>
        </w:rPr>
        <w:t>。</w:t>
      </w:r>
    </w:p>
    <w:p>
      <w:pPr>
        <w:adjustRightInd w:val="0"/>
        <w:snapToGrid w:val="0"/>
        <w:spacing w:line="587" w:lineRule="atLeast"/>
        <w:ind w:firstLine="640" w:firstLineChars="200"/>
        <w:rPr>
          <w:snapToGrid w:val="0"/>
          <w:kern w:val="0"/>
        </w:rPr>
      </w:pPr>
      <w:r>
        <w:rPr>
          <w:rFonts w:hint="eastAsia" w:ascii="彩虹黑体" w:eastAsia="彩虹黑体"/>
          <w:snapToGrid w:val="0"/>
          <w:kern w:val="0"/>
          <w:lang w:val="zh-CN"/>
        </w:rPr>
        <w:t>第七条</w:t>
      </w:r>
      <w:r>
        <w:rPr>
          <w:rFonts w:hint="eastAsia"/>
          <w:b/>
          <w:snapToGrid w:val="0"/>
          <w:kern w:val="0"/>
          <w:lang w:val="zh-CN"/>
        </w:rPr>
        <w:t xml:space="preserve"> </w:t>
      </w:r>
      <w:r>
        <w:rPr>
          <w:rFonts w:hint="eastAsia"/>
          <w:snapToGrid w:val="0"/>
          <w:kern w:val="0"/>
        </w:rPr>
        <w:t xml:space="preserve"> 在中国境内金融机构开立基本存款账户并具有偿还能力的机关、团体、部队、企业、事业单位和其他组织（以下统称“单位”），可凭经中国人民银行核准的基本存款账户开户登记证和相关证明文件申领单位卡。单位卡持卡人须由单位法定代表人（负责人）或其授权代理人书面指定。各持卡人的所有交易款项及相应的利息、费用等均记入该单位龙卡信用卡账户内，由单位承担还款责任。单位可随时申请注销持卡人用卡资格或变更持卡人。</w:t>
      </w:r>
    </w:p>
    <w:p>
      <w:pPr>
        <w:adjustRightInd w:val="0"/>
        <w:snapToGrid w:val="0"/>
        <w:spacing w:line="587" w:lineRule="atLeast"/>
        <w:ind w:firstLine="640" w:firstLineChars="200"/>
        <w:rPr>
          <w:snapToGrid w:val="0"/>
          <w:kern w:val="0"/>
        </w:rPr>
      </w:pPr>
      <w:r>
        <w:rPr>
          <w:rFonts w:hint="eastAsia" w:ascii="彩虹黑体" w:eastAsia="彩虹黑体"/>
          <w:snapToGrid w:val="0"/>
          <w:kern w:val="0"/>
          <w:lang w:val="zh-CN"/>
        </w:rPr>
        <w:t>第八条</w:t>
      </w:r>
      <w:r>
        <w:rPr>
          <w:rFonts w:hint="eastAsia"/>
          <w:b/>
          <w:snapToGrid w:val="0"/>
          <w:kern w:val="0"/>
          <w:lang w:val="zh-CN"/>
        </w:rPr>
        <w:t xml:space="preserve"> </w:t>
      </w:r>
      <w:r>
        <w:rPr>
          <w:rFonts w:hint="eastAsia"/>
          <w:snapToGrid w:val="0"/>
          <w:kern w:val="0"/>
        </w:rPr>
        <w:t xml:space="preserve"> 申请人申领龙卡信用卡须同</w:t>
      </w:r>
      <w:r>
        <w:rPr>
          <w:rFonts w:hint="eastAsia"/>
          <w:snapToGrid w:val="0"/>
          <w:kern w:val="0"/>
          <w:lang w:val="en-US" w:eastAsia="zh-CN"/>
        </w:rPr>
        <w:t>时</w:t>
      </w:r>
      <w:r>
        <w:rPr>
          <w:rFonts w:hint="eastAsia"/>
          <w:snapToGrid w:val="0"/>
          <w:kern w:val="0"/>
        </w:rPr>
        <w:t>遵守本章程，正确、完整地填写申请表，提供本行要求的有关证明材料，交本行审核。申请人应对申请表填写内容及证明材料的真实性负责。</w:t>
      </w:r>
    </w:p>
    <w:p>
      <w:pPr>
        <w:adjustRightInd w:val="0"/>
        <w:snapToGrid w:val="0"/>
        <w:spacing w:line="587" w:lineRule="atLeast"/>
        <w:ind w:firstLine="640" w:firstLineChars="200"/>
        <w:rPr>
          <w:snapToGrid w:val="0"/>
          <w:kern w:val="0"/>
        </w:rPr>
      </w:pPr>
      <w:r>
        <w:rPr>
          <w:rFonts w:hint="eastAsia" w:ascii="彩虹黑体" w:eastAsia="彩虹黑体"/>
          <w:snapToGrid w:val="0"/>
          <w:kern w:val="0"/>
          <w:lang w:val="zh-CN"/>
        </w:rPr>
        <w:t>第九条</w:t>
      </w:r>
      <w:r>
        <w:rPr>
          <w:rFonts w:hint="eastAsia"/>
          <w:snapToGrid w:val="0"/>
          <w:kern w:val="0"/>
        </w:rPr>
        <w:t xml:space="preserve">  本行根据申请人提交的申请表及证明材料等对申请人的资信情况进行审查。本行也可要求申请人提供保证人担保、抵押担保、质押担保或交存一定数量的保证金。</w:t>
      </w:r>
    </w:p>
    <w:p>
      <w:pPr>
        <w:adjustRightInd w:val="0"/>
        <w:snapToGrid w:val="0"/>
        <w:spacing w:line="587" w:lineRule="atLeast"/>
        <w:ind w:firstLine="640" w:firstLineChars="200"/>
        <w:rPr>
          <w:snapToGrid w:val="0"/>
          <w:kern w:val="0"/>
        </w:rPr>
      </w:pPr>
      <w:r>
        <w:rPr>
          <w:rFonts w:hint="eastAsia" w:ascii="彩虹黑体" w:eastAsia="彩虹黑体"/>
          <w:snapToGrid w:val="0"/>
          <w:kern w:val="0"/>
          <w:lang w:val="zh-CN"/>
        </w:rPr>
        <w:t>第十条</w:t>
      </w:r>
      <w:r>
        <w:rPr>
          <w:rFonts w:hint="eastAsia"/>
          <w:snapToGrid w:val="0"/>
          <w:kern w:val="0"/>
        </w:rPr>
        <w:t xml:space="preserve">  对申领单位卡的，本行根据申请单位的资信情况等核定其总信用额度，各持卡人的信用额度由申请单位在其总信用额度内确定，本行核批；对申领个人卡的，本行根据主卡申请人的资信情况等核定其信用额度，如申领附属卡，附属卡持卡人共用此信用额度或由主卡持卡人在本人信用额度内单独确定其信用额度。本行为持卡人设立人民币及/或外币账户，可供持卡人选择的外币账户种类由本行指定。</w:t>
      </w:r>
    </w:p>
    <w:p>
      <w:pPr>
        <w:adjustRightInd w:val="0"/>
        <w:snapToGrid w:val="0"/>
        <w:spacing w:line="587" w:lineRule="atLeast"/>
        <w:jc w:val="center"/>
        <w:rPr>
          <w:rFonts w:ascii="彩虹小标宋" w:eastAsia="彩虹小标宋" w:cs="彩虹黑体"/>
          <w:snapToGrid w:val="0"/>
          <w:kern w:val="0"/>
        </w:rPr>
      </w:pPr>
    </w:p>
    <w:p>
      <w:pPr>
        <w:adjustRightInd w:val="0"/>
        <w:snapToGrid w:val="0"/>
        <w:spacing w:line="587" w:lineRule="atLeast"/>
        <w:jc w:val="center"/>
        <w:rPr>
          <w:rFonts w:ascii="彩虹小标宋" w:eastAsia="彩虹小标宋" w:cs="彩虹黑体"/>
          <w:snapToGrid w:val="0"/>
          <w:kern w:val="0"/>
        </w:rPr>
      </w:pPr>
      <w:r>
        <w:rPr>
          <w:rFonts w:hint="eastAsia" w:ascii="彩虹小标宋" w:eastAsia="彩虹小标宋" w:cs="彩虹黑体"/>
          <w:snapToGrid w:val="0"/>
          <w:kern w:val="0"/>
        </w:rPr>
        <w:t>第三章  使  用</w:t>
      </w:r>
    </w:p>
    <w:p>
      <w:pPr>
        <w:adjustRightInd w:val="0"/>
        <w:snapToGrid w:val="0"/>
        <w:spacing w:line="587" w:lineRule="atLeast"/>
        <w:ind w:firstLine="640" w:firstLineChars="200"/>
        <w:rPr>
          <w:snapToGrid w:val="0"/>
          <w:kern w:val="0"/>
        </w:rPr>
      </w:pPr>
    </w:p>
    <w:p>
      <w:pPr>
        <w:adjustRightInd w:val="0"/>
        <w:snapToGrid w:val="0"/>
        <w:spacing w:line="587" w:lineRule="atLeast"/>
        <w:ind w:firstLine="640" w:firstLineChars="200"/>
        <w:rPr>
          <w:b/>
          <w:bCs/>
          <w:snapToGrid w:val="0"/>
          <w:kern w:val="0"/>
        </w:rPr>
      </w:pPr>
      <w:r>
        <w:rPr>
          <w:rFonts w:hint="eastAsia" w:ascii="彩虹黑体" w:eastAsia="彩虹黑体"/>
          <w:snapToGrid w:val="0"/>
          <w:kern w:val="0"/>
          <w:lang w:val="zh-CN"/>
        </w:rPr>
        <w:t>第十一条</w:t>
      </w:r>
      <w:r>
        <w:rPr>
          <w:rFonts w:hint="eastAsia"/>
          <w:b/>
          <w:bCs/>
          <w:snapToGrid w:val="0"/>
          <w:kern w:val="0"/>
        </w:rPr>
        <w:t xml:space="preserve">  为保护自己的合法用卡权益不受侵犯，持卡人应按本行规定办理激活手续。持卡人应在卡片背面的签名栏内签署与申请表上相同的常用签名（虚拟卡除外），在用卡交易时如需签名确认，应使用此签名。按约定使用密码的，持卡人应通过本行指定的途径进行设置。</w:t>
      </w:r>
    </w:p>
    <w:p>
      <w:pPr>
        <w:pStyle w:val="3"/>
        <w:spacing w:line="587" w:lineRule="atLeast"/>
        <w:ind w:firstLine="640" w:firstLineChars="200"/>
        <w:rPr>
          <w:snapToGrid w:val="0"/>
        </w:rPr>
      </w:pPr>
      <w:r>
        <w:rPr>
          <w:rFonts w:hint="eastAsia" w:ascii="彩虹黑体" w:eastAsia="彩虹黑体" w:cs="彩虹粗仿宋"/>
          <w:snapToGrid w:val="0"/>
          <w:szCs w:val="32"/>
        </w:rPr>
        <w:t>第十二条</w:t>
      </w:r>
      <w:r>
        <w:rPr>
          <w:rFonts w:hint="eastAsia"/>
          <w:snapToGrid w:val="0"/>
        </w:rPr>
        <w:t xml:space="preserve">  持卡人在境内外的消费、预借现金、还款等交易须遵守国家法律、法规和规章，以及本行、特约单位及信用卡组织或公司等的相关规定。持卡人申请分期付款的，还应遵循相应的分期付款业务约定条款及领用协议。</w:t>
      </w:r>
    </w:p>
    <w:p>
      <w:pPr>
        <w:adjustRightInd w:val="0"/>
        <w:snapToGrid w:val="0"/>
        <w:spacing w:line="587" w:lineRule="atLeast"/>
        <w:ind w:firstLine="640" w:firstLineChars="200"/>
        <w:rPr>
          <w:rFonts w:hint="eastAsia"/>
          <w:b/>
          <w:snapToGrid w:val="0"/>
          <w:kern w:val="0"/>
        </w:rPr>
      </w:pPr>
      <w:r>
        <w:rPr>
          <w:rFonts w:hint="eastAsia" w:ascii="彩虹黑体" w:eastAsia="彩虹黑体"/>
          <w:snapToGrid w:val="0"/>
          <w:kern w:val="0"/>
          <w:lang w:val="zh-CN"/>
        </w:rPr>
        <w:t>第十三条</w:t>
      </w:r>
      <w:r>
        <w:rPr>
          <w:rFonts w:hint="eastAsia"/>
          <w:snapToGrid w:val="0"/>
          <w:kern w:val="0"/>
        </w:rPr>
        <w:t xml:space="preserve">  持卡人可在相应信用卡组织或</w:t>
      </w:r>
      <w:r>
        <w:rPr>
          <w:rFonts w:hint="eastAsia"/>
          <w:snapToGrid w:val="0"/>
          <w:kern w:val="0"/>
          <w:lang w:val="en-US" w:eastAsia="zh-CN"/>
        </w:rPr>
        <w:t>公司或</w:t>
      </w:r>
      <w:r>
        <w:rPr>
          <w:rFonts w:hint="eastAsia"/>
          <w:snapToGrid w:val="0"/>
          <w:kern w:val="0"/>
        </w:rPr>
        <w:t>本行指定的特约单位、营业网点、ATM等受理渠道使用</w:t>
      </w:r>
      <w:r>
        <w:rPr>
          <w:rFonts w:hint="eastAsia"/>
          <w:snapToGrid w:val="0"/>
          <w:kern w:val="0"/>
          <w:lang w:val="en-US" w:eastAsia="zh-CN"/>
        </w:rPr>
        <w:t>本人信用卡</w:t>
      </w:r>
      <w:r>
        <w:rPr>
          <w:rFonts w:hint="eastAsia"/>
          <w:snapToGrid w:val="0"/>
          <w:kern w:val="0"/>
        </w:rPr>
        <w:t>。</w:t>
      </w:r>
      <w:r>
        <w:rPr>
          <w:rFonts w:hint="eastAsia"/>
          <w:b/>
          <w:snapToGrid w:val="0"/>
          <w:kern w:val="0"/>
        </w:rPr>
        <w:t>差旅卡在境内不能提取现金，境外提取现金不得超过本行规定限额；除差旅卡外的单位卡在境内外均不能提取现金。</w:t>
      </w:r>
    </w:p>
    <w:p>
      <w:pPr>
        <w:adjustRightInd w:val="0"/>
        <w:snapToGrid w:val="0"/>
        <w:spacing w:line="587" w:lineRule="atLeast"/>
        <w:ind w:firstLine="640" w:firstLineChars="200"/>
        <w:rPr>
          <w:snapToGrid w:val="0"/>
          <w:kern w:val="0"/>
        </w:rPr>
      </w:pPr>
      <w:r>
        <w:rPr>
          <w:rFonts w:hint="eastAsia" w:ascii="彩虹黑体" w:eastAsia="彩虹黑体"/>
          <w:snapToGrid w:val="0"/>
          <w:kern w:val="0"/>
          <w:lang w:val="zh-CN"/>
        </w:rPr>
        <w:t>第十四条</w:t>
      </w:r>
      <w:r>
        <w:rPr>
          <w:rFonts w:hint="eastAsia"/>
          <w:snapToGrid w:val="0"/>
          <w:kern w:val="0"/>
        </w:rPr>
        <w:t xml:space="preserve">  持卡人在境内联机消费时须按预先与本行的约定输入或无须输入密码，</w:t>
      </w:r>
      <w:r>
        <w:rPr>
          <w:rFonts w:hint="eastAsia"/>
          <w:b/>
          <w:snapToGrid w:val="0"/>
          <w:kern w:val="0"/>
        </w:rPr>
        <w:t>在境外带有</w:t>
      </w:r>
      <w:r>
        <w:rPr>
          <w:rFonts w:hint="eastAsia" w:hAnsi="宋体"/>
          <w:b/>
          <w:snapToGrid w:val="0"/>
          <w:kern w:val="0"/>
        </w:rPr>
        <w:t>VISA、MasterCard、银联、JCB、American Express</w:t>
      </w:r>
      <w:r>
        <w:rPr>
          <w:rFonts w:hint="eastAsia"/>
          <w:b/>
          <w:snapToGrid w:val="0"/>
          <w:kern w:val="0"/>
        </w:rPr>
        <w:t>等信用卡组织或公司受理标识的特约单位消费时须按信用卡组织或公司的规定输入或无须输入密码，在境内压单消费时须出示身份证件。</w:t>
      </w:r>
      <w:r>
        <w:rPr>
          <w:rFonts w:hint="eastAsia"/>
          <w:snapToGrid w:val="0"/>
          <w:kern w:val="0"/>
        </w:rPr>
        <w:t>信用卡组织或公司另有规定的除外。</w:t>
      </w:r>
    </w:p>
    <w:p>
      <w:pPr>
        <w:adjustRightInd w:val="0"/>
        <w:snapToGrid w:val="0"/>
        <w:spacing w:line="587" w:lineRule="atLeast"/>
        <w:ind w:firstLine="640" w:firstLineChars="200"/>
        <w:rPr>
          <w:snapToGrid w:val="0"/>
          <w:kern w:val="0"/>
        </w:rPr>
      </w:pPr>
      <w:r>
        <w:rPr>
          <w:rFonts w:hint="eastAsia"/>
          <w:snapToGrid w:val="0"/>
          <w:kern w:val="0"/>
        </w:rPr>
        <w:t>持卡人在境外取现网点提取现金时须根据要求出示身份证件，在境内取现网点联机提取人民币现金时须输入密码，压单提取人民币现金时须出示身份证件；在境内外</w:t>
      </w:r>
      <w:r>
        <w:rPr>
          <w:rFonts w:hint="eastAsia" w:hAnsi="宋体"/>
          <w:snapToGrid w:val="0"/>
          <w:kern w:val="0"/>
        </w:rPr>
        <w:t>ATM</w:t>
      </w:r>
      <w:r>
        <w:rPr>
          <w:rFonts w:hint="eastAsia"/>
          <w:snapToGrid w:val="0"/>
          <w:kern w:val="0"/>
        </w:rPr>
        <w:t>上提取现金须输入密码。信用卡组织或公司另有规定的除外。</w:t>
      </w:r>
    </w:p>
    <w:p>
      <w:pPr>
        <w:adjustRightInd w:val="0"/>
        <w:snapToGrid w:val="0"/>
        <w:spacing w:line="587" w:lineRule="atLeast"/>
        <w:ind w:firstLine="640" w:firstLineChars="200"/>
        <w:rPr>
          <w:snapToGrid w:val="0"/>
          <w:kern w:val="0"/>
        </w:rPr>
      </w:pPr>
      <w:r>
        <w:rPr>
          <w:rFonts w:hint="eastAsia"/>
          <w:snapToGrid w:val="0"/>
          <w:kern w:val="0"/>
        </w:rPr>
        <w:t>交易成功后，持卡人应在相关单据上签署与卡片背面相同的签名。信用卡组织或公司另有规定的除外。</w:t>
      </w:r>
    </w:p>
    <w:p>
      <w:pPr>
        <w:adjustRightInd w:val="0"/>
        <w:snapToGrid w:val="0"/>
        <w:spacing w:line="587" w:lineRule="atLeast"/>
        <w:ind w:firstLine="640" w:firstLineChars="200"/>
        <w:rPr>
          <w:snapToGrid w:val="0"/>
          <w:kern w:val="0"/>
        </w:rPr>
      </w:pPr>
      <w:r>
        <w:rPr>
          <w:rFonts w:hint="eastAsia"/>
          <w:snapToGrid w:val="0"/>
          <w:kern w:val="0"/>
        </w:rPr>
        <w:t>持卡人进行网络支付等非面对面交易时，应按要求输入验证信息。信用卡组织或公司另有规定的除外。</w:t>
      </w:r>
    </w:p>
    <w:p>
      <w:pPr>
        <w:adjustRightInd w:val="0"/>
        <w:snapToGrid w:val="0"/>
        <w:spacing w:line="587" w:lineRule="atLeast"/>
        <w:ind w:firstLine="640" w:firstLineChars="200"/>
        <w:rPr>
          <w:snapToGrid w:val="0"/>
          <w:kern w:val="0"/>
        </w:rPr>
      </w:pPr>
      <w:r>
        <w:rPr>
          <w:rFonts w:hint="eastAsia" w:ascii="彩虹黑体" w:eastAsia="彩虹黑体"/>
          <w:snapToGrid w:val="0"/>
          <w:kern w:val="0"/>
          <w:lang w:val="zh-CN"/>
        </w:rPr>
        <w:t>第十五条</w:t>
      </w:r>
      <w:r>
        <w:rPr>
          <w:rFonts w:hint="eastAsia"/>
          <w:b/>
          <w:snapToGrid w:val="0"/>
          <w:kern w:val="0"/>
          <w:lang w:val="zh-CN"/>
        </w:rPr>
        <w:t xml:space="preserve"> </w:t>
      </w:r>
      <w:r>
        <w:rPr>
          <w:rFonts w:hint="eastAsia"/>
          <w:b/>
          <w:snapToGrid w:val="0"/>
          <w:kern w:val="0"/>
        </w:rPr>
        <w:t xml:space="preserve"> 使用密码进行的交易，相应产生的电子信息记录为该项交易完成的有效凭证；不凭密码进行的交易，基于持卡人签名形成的交易凭证和/或凭信用卡磁条、芯片、卡号等电子数据而办理的各项交易所产生的信息记录，或能够证明持卡人本人消费的其他依据为该项交易完成的有效凭证</w:t>
      </w:r>
      <w:r>
        <w:rPr>
          <w:rFonts w:hint="eastAsia"/>
          <w:snapToGrid w:val="0"/>
          <w:kern w:val="0"/>
        </w:rPr>
        <w:t>。</w:t>
      </w:r>
    </w:p>
    <w:p>
      <w:pPr>
        <w:pStyle w:val="3"/>
        <w:spacing w:line="600" w:lineRule="atLeast"/>
        <w:ind w:firstLine="640" w:firstLineChars="200"/>
        <w:rPr>
          <w:snapToGrid w:val="0"/>
        </w:rPr>
      </w:pPr>
      <w:r>
        <w:rPr>
          <w:rFonts w:hint="eastAsia" w:ascii="彩虹黑体" w:eastAsia="彩虹黑体" w:cs="彩虹粗仿宋"/>
          <w:snapToGrid w:val="0"/>
          <w:szCs w:val="32"/>
        </w:rPr>
        <w:t>第十六条</w:t>
      </w:r>
      <w:r>
        <w:rPr>
          <w:rFonts w:hint="eastAsia"/>
          <w:snapToGrid w:val="0"/>
        </w:rPr>
        <w:t xml:space="preserve">  持卡人预借现金交易产生的欠款金额不得超过本行为其核定的信用额度的一定比例，持卡人可通过手机银行、客户服务电话查询本人预借现金额度。</w:t>
      </w:r>
    </w:p>
    <w:p>
      <w:pPr>
        <w:adjustRightInd w:val="0"/>
        <w:snapToGrid w:val="0"/>
        <w:spacing w:line="600" w:lineRule="atLeast"/>
        <w:ind w:firstLine="640" w:firstLineChars="200"/>
        <w:rPr>
          <w:snapToGrid w:val="0"/>
          <w:kern w:val="0"/>
        </w:rPr>
      </w:pPr>
      <w:r>
        <w:rPr>
          <w:rFonts w:hint="eastAsia" w:ascii="彩虹黑体" w:eastAsia="彩虹黑体"/>
          <w:snapToGrid w:val="0"/>
          <w:kern w:val="0"/>
          <w:lang w:val="zh-CN"/>
        </w:rPr>
        <w:t>第十七条</w:t>
      </w:r>
      <w:r>
        <w:rPr>
          <w:rFonts w:hint="eastAsia"/>
          <w:b/>
          <w:snapToGrid w:val="0"/>
          <w:kern w:val="0"/>
          <w:lang w:val="zh-CN"/>
        </w:rPr>
        <w:t xml:space="preserve"> </w:t>
      </w:r>
      <w:r>
        <w:rPr>
          <w:rFonts w:hint="eastAsia"/>
          <w:b/>
          <w:snapToGrid w:val="0"/>
          <w:kern w:val="0"/>
        </w:rPr>
        <w:t xml:space="preserve"> 持卡人如遇信用卡遗失、被窃或被冒用，应立即通过本行提供的手机银行、网上银行或客户服务电话或营业网点等方式办理挂失，挂失手续经本行确认办妥后即时生效</w:t>
      </w:r>
      <w:r>
        <w:rPr>
          <w:rFonts w:hint="eastAsia"/>
          <w:snapToGrid w:val="0"/>
          <w:kern w:val="0"/>
        </w:rPr>
        <w:t>。</w:t>
      </w:r>
      <w:r>
        <w:rPr>
          <w:rFonts w:hint="eastAsia"/>
          <w:b/>
          <w:bCs/>
          <w:snapToGrid w:val="0"/>
          <w:kern w:val="0"/>
        </w:rPr>
        <w:t>在挂失生效前发生的债务和损失由持卡人承担；挂失生效后产生的损失不再由持卡人承担，但持卡人对该债务和损失有任何违法、欺诈或其他不诚信行为的除外。信用卡遗失、被窃或被冒用的，持卡人应配合本行调查情况。</w:t>
      </w:r>
    </w:p>
    <w:p>
      <w:pPr>
        <w:adjustRightInd w:val="0"/>
        <w:snapToGrid w:val="0"/>
        <w:spacing w:line="600" w:lineRule="atLeast"/>
        <w:ind w:firstLine="640" w:firstLineChars="200"/>
        <w:rPr>
          <w:rFonts w:hint="eastAsia"/>
          <w:b/>
          <w:snapToGrid w:val="0"/>
          <w:kern w:val="0"/>
        </w:rPr>
      </w:pPr>
      <w:r>
        <w:rPr>
          <w:rFonts w:hint="eastAsia" w:ascii="彩虹黑体" w:eastAsia="彩虹黑体"/>
          <w:snapToGrid w:val="0"/>
          <w:kern w:val="0"/>
          <w:lang w:val="zh-CN"/>
        </w:rPr>
        <w:t>第十八条</w:t>
      </w:r>
      <w:r>
        <w:rPr>
          <w:rFonts w:hint="eastAsia"/>
          <w:snapToGrid w:val="0"/>
          <w:kern w:val="0"/>
        </w:rPr>
        <w:t xml:space="preserve">  本行对龙卡信用卡设定有效期，过期后信用卡不能继续使用，但其账户下尚未结清的债权债务关系仍然有效。本行为符合换卡条件的持卡人提供到期自动换卡服务，在有效期届满前将新卡直接邮寄至持卡人的账单地址。若持卡人到期不再换卡，应于信用卡有效期届满之日起至少提前</w:t>
      </w:r>
      <w:r>
        <w:rPr>
          <w:rFonts w:hint="eastAsia" w:hAnsi="宋体"/>
          <w:snapToGrid w:val="0"/>
          <w:kern w:val="0"/>
        </w:rPr>
        <w:t>3</w:t>
      </w:r>
      <w:r>
        <w:rPr>
          <w:rFonts w:hint="eastAsia"/>
          <w:snapToGrid w:val="0"/>
          <w:kern w:val="0"/>
        </w:rPr>
        <w:t>个月通过本行提供的客户服务电话或本行认可的其他形式通知本行。</w:t>
      </w:r>
      <w:r>
        <w:rPr>
          <w:rFonts w:hint="eastAsia"/>
          <w:b/>
          <w:snapToGrid w:val="0"/>
          <w:kern w:val="0"/>
        </w:rPr>
        <w:t>如因特定原因包括但不限于本行与合作单位、信用卡组织或公司终止合作，导致持卡人使用的信用卡停发或其无法用卡的，经本行公告后，在持卡人未向本行表示异议的情况下，本行将视情况为持卡人发放其他类型信用卡。</w:t>
      </w:r>
    </w:p>
    <w:p>
      <w:pPr>
        <w:adjustRightInd w:val="0"/>
        <w:snapToGrid w:val="0"/>
        <w:spacing w:line="600" w:lineRule="atLeast"/>
        <w:ind w:firstLine="640" w:firstLineChars="200"/>
        <w:rPr>
          <w:snapToGrid w:val="0"/>
          <w:kern w:val="0"/>
        </w:rPr>
      </w:pPr>
    </w:p>
    <w:p>
      <w:pPr>
        <w:adjustRightInd w:val="0"/>
        <w:snapToGrid w:val="0"/>
        <w:spacing w:line="587" w:lineRule="atLeast"/>
        <w:jc w:val="center"/>
        <w:rPr>
          <w:rFonts w:ascii="彩虹小标宋" w:eastAsia="彩虹小标宋" w:cs="彩虹黑体"/>
          <w:snapToGrid w:val="0"/>
          <w:kern w:val="0"/>
        </w:rPr>
      </w:pPr>
      <w:r>
        <w:rPr>
          <w:rFonts w:hint="eastAsia" w:ascii="彩虹小标宋" w:eastAsia="彩虹小标宋" w:cs="彩虹黑体"/>
          <w:snapToGrid w:val="0"/>
          <w:kern w:val="0"/>
        </w:rPr>
        <w:t>第四章  计息、还款及账户管理</w:t>
      </w:r>
    </w:p>
    <w:p>
      <w:pPr>
        <w:adjustRightInd w:val="0"/>
        <w:snapToGrid w:val="0"/>
        <w:spacing w:line="587" w:lineRule="atLeast"/>
        <w:ind w:firstLine="640" w:firstLineChars="200"/>
        <w:rPr>
          <w:snapToGrid w:val="0"/>
          <w:kern w:val="0"/>
        </w:rPr>
      </w:pPr>
    </w:p>
    <w:p>
      <w:pPr>
        <w:adjustRightInd w:val="0"/>
        <w:snapToGrid w:val="0"/>
        <w:spacing w:line="587" w:lineRule="atLeast"/>
        <w:ind w:firstLine="640" w:firstLineChars="200"/>
        <w:rPr>
          <w:snapToGrid w:val="0"/>
          <w:color w:val="000000"/>
          <w:kern w:val="0"/>
        </w:rPr>
      </w:pPr>
      <w:r>
        <w:rPr>
          <w:rFonts w:hint="eastAsia" w:ascii="彩虹黑体" w:eastAsia="彩虹黑体"/>
          <w:snapToGrid w:val="0"/>
          <w:kern w:val="0"/>
          <w:lang w:val="zh-CN"/>
        </w:rPr>
        <w:t>第十九条</w:t>
      </w:r>
      <w:r>
        <w:rPr>
          <w:rFonts w:hint="eastAsia"/>
          <w:snapToGrid w:val="0"/>
          <w:kern w:val="0"/>
        </w:rPr>
        <w:t xml:space="preserve">  </w:t>
      </w:r>
      <w:r>
        <w:rPr>
          <w:rFonts w:hint="eastAsia"/>
          <w:snapToGrid w:val="0"/>
          <w:color w:val="000000"/>
          <w:kern w:val="0"/>
        </w:rPr>
        <w:t>持卡人在</w:t>
      </w:r>
      <w:r>
        <w:rPr>
          <w:rFonts w:hint="eastAsia"/>
          <w:snapToGrid w:val="0"/>
          <w:color w:val="000000"/>
          <w:kern w:val="0"/>
          <w:lang w:val="en-US" w:eastAsia="zh-CN"/>
        </w:rPr>
        <w:t>境内外</w:t>
      </w:r>
      <w:r>
        <w:rPr>
          <w:rFonts w:hint="eastAsia"/>
          <w:snapToGrid w:val="0"/>
          <w:color w:val="000000"/>
          <w:kern w:val="0"/>
        </w:rPr>
        <w:t>带有银联</w:t>
      </w:r>
      <w:r>
        <w:rPr>
          <w:rFonts w:hint="eastAsia"/>
          <w:snapToGrid w:val="0"/>
          <w:color w:val="000000"/>
          <w:kern w:val="0"/>
          <w:lang w:eastAsia="zh-CN"/>
        </w:rPr>
        <w:t>、</w:t>
      </w:r>
      <w:r>
        <w:rPr>
          <w:rFonts w:hint="eastAsia" w:hAnsi="宋体"/>
          <w:snapToGrid w:val="0"/>
          <w:color w:val="000000"/>
          <w:kern w:val="0"/>
        </w:rPr>
        <w:t>American Express或境内带有MasterCard</w:t>
      </w:r>
      <w:r>
        <w:rPr>
          <w:rFonts w:hint="eastAsia"/>
          <w:snapToGrid w:val="0"/>
          <w:color w:val="000000"/>
          <w:kern w:val="0"/>
        </w:rPr>
        <w:t>受理标识的特约单位、</w:t>
      </w:r>
      <w:r>
        <w:rPr>
          <w:rFonts w:hint="eastAsia" w:hAnsi="宋体"/>
          <w:snapToGrid w:val="0"/>
          <w:color w:val="000000"/>
          <w:kern w:val="0"/>
        </w:rPr>
        <w:t>ATM</w:t>
      </w:r>
      <w:r>
        <w:rPr>
          <w:rFonts w:hint="eastAsia"/>
          <w:snapToGrid w:val="0"/>
          <w:color w:val="000000"/>
          <w:kern w:val="0"/>
        </w:rPr>
        <w:t>及本行指定的营业网点进行消费或预借现金交易时，交易款项及相应的费用、利息记入人民币账户；在</w:t>
      </w:r>
      <w:r>
        <w:rPr>
          <w:rFonts w:hint="eastAsia"/>
          <w:snapToGrid w:val="0"/>
          <w:color w:val="000000"/>
          <w:kern w:val="0"/>
          <w:lang w:val="en-US" w:eastAsia="zh-CN"/>
        </w:rPr>
        <w:t>境外</w:t>
      </w:r>
      <w:r>
        <w:rPr>
          <w:rFonts w:hint="eastAsia"/>
          <w:snapToGrid w:val="0"/>
          <w:color w:val="000000"/>
          <w:kern w:val="0"/>
        </w:rPr>
        <w:t>带有</w:t>
      </w:r>
      <w:r>
        <w:rPr>
          <w:rFonts w:hint="eastAsia" w:hAnsi="宋体"/>
          <w:snapToGrid w:val="0"/>
          <w:color w:val="000000"/>
          <w:kern w:val="0"/>
        </w:rPr>
        <w:t>VISA、MasterCard、JCB</w:t>
      </w:r>
      <w:r>
        <w:rPr>
          <w:rFonts w:hint="eastAsia"/>
          <w:snapToGrid w:val="0"/>
          <w:color w:val="000000"/>
          <w:kern w:val="0"/>
        </w:rPr>
        <w:t>等信用卡组织或公司受理标识的特约单位、取现网点或</w:t>
      </w:r>
      <w:r>
        <w:rPr>
          <w:rFonts w:hint="eastAsia" w:hAnsi="宋体"/>
          <w:snapToGrid w:val="0"/>
          <w:color w:val="000000"/>
          <w:kern w:val="0"/>
        </w:rPr>
        <w:t>ATM</w:t>
      </w:r>
      <w:r>
        <w:rPr>
          <w:rFonts w:hint="eastAsia"/>
          <w:snapToGrid w:val="0"/>
          <w:color w:val="000000"/>
          <w:kern w:val="0"/>
        </w:rPr>
        <w:t>进行消费或预借现金交易时，交易款项及相应的费用、利息记入外币账户。本行与持卡人另有约定的除外。</w:t>
      </w:r>
    </w:p>
    <w:p>
      <w:pPr>
        <w:adjustRightInd w:val="0"/>
        <w:snapToGrid w:val="0"/>
        <w:spacing w:line="587" w:lineRule="atLeast"/>
        <w:ind w:firstLine="640" w:firstLineChars="200"/>
        <w:rPr>
          <w:snapToGrid w:val="0"/>
          <w:kern w:val="0"/>
        </w:rPr>
      </w:pPr>
      <w:r>
        <w:rPr>
          <w:rFonts w:hint="eastAsia" w:ascii="彩虹黑体" w:eastAsia="彩虹黑体"/>
          <w:snapToGrid w:val="0"/>
          <w:kern w:val="0"/>
          <w:lang w:val="zh-CN"/>
        </w:rPr>
        <w:t xml:space="preserve">第二十条 </w:t>
      </w:r>
      <w:r>
        <w:rPr>
          <w:rFonts w:hint="eastAsia"/>
          <w:snapToGrid w:val="0"/>
          <w:kern w:val="0"/>
        </w:rPr>
        <w:t xml:space="preserve"> 持卡人在到期还款日（含）前偿还全部应还款额的，其当期对账单上本期发生的消费交易款项享受免息还款期待遇。免息还款期限本行另行告知。</w:t>
      </w:r>
    </w:p>
    <w:p>
      <w:pPr>
        <w:adjustRightInd w:val="0"/>
        <w:snapToGrid w:val="0"/>
        <w:spacing w:line="587" w:lineRule="atLeast"/>
        <w:ind w:firstLine="640" w:firstLineChars="200"/>
        <w:rPr>
          <w:b/>
          <w:bCs/>
          <w:snapToGrid w:val="0"/>
          <w:kern w:val="0"/>
        </w:rPr>
      </w:pPr>
      <w:r>
        <w:rPr>
          <w:rFonts w:hint="eastAsia" w:ascii="彩虹黑体" w:eastAsia="彩虹黑体"/>
          <w:snapToGrid w:val="0"/>
          <w:kern w:val="0"/>
          <w:lang w:val="zh-CN"/>
        </w:rPr>
        <w:t>第二十一条</w:t>
      </w:r>
      <w:r>
        <w:rPr>
          <w:rFonts w:hint="eastAsia"/>
          <w:b/>
          <w:bCs/>
          <w:snapToGrid w:val="0"/>
          <w:kern w:val="0"/>
        </w:rPr>
        <w:t xml:space="preserve">  个人卡持卡人在到期还款日（含）前未能偿还全部应还款额的，可按不低于最低还款额的任意金额还款，但应还款中的消费交易款项不再享受免息还款期待遇。单位卡持卡单位在到期还款日（含）前未能偿还全部应还款额的，应还款中的消费交易款项不再享受免息还款期待遇。持卡人预借现金交易不享受免息还款期待遇。对持卡人不符合免息条件的交易款项，本行从银行记账日开始计算透支利息，并按月计收复利。</w:t>
      </w:r>
    </w:p>
    <w:p>
      <w:pPr>
        <w:adjustRightInd w:val="0"/>
        <w:snapToGrid w:val="0"/>
        <w:spacing w:line="587" w:lineRule="atLeast"/>
        <w:ind w:firstLine="642" w:firstLineChars="200"/>
        <w:rPr>
          <w:b/>
          <w:bCs/>
          <w:snapToGrid w:val="0"/>
          <w:kern w:val="0"/>
        </w:rPr>
      </w:pPr>
      <w:r>
        <w:rPr>
          <w:rFonts w:hint="eastAsia"/>
          <w:b/>
          <w:bCs/>
          <w:snapToGrid w:val="0"/>
          <w:kern w:val="0"/>
        </w:rPr>
        <w:t>除本行与持卡人另有约定外，适用于持卡人</w:t>
      </w:r>
      <w:r>
        <w:rPr>
          <w:rFonts w:hint="eastAsia"/>
          <w:b/>
          <w:bCs/>
          <w:snapToGrid w:val="0"/>
          <w:kern w:val="0"/>
          <w:highlight w:val="none"/>
        </w:rPr>
        <w:t>的</w:t>
      </w:r>
      <w:r>
        <w:rPr>
          <w:rFonts w:hint="eastAsia"/>
          <w:b/>
          <w:bCs/>
          <w:snapToGrid w:val="0"/>
          <w:kern w:val="0"/>
          <w:highlight w:val="none"/>
          <w:lang w:val="en-US" w:eastAsia="zh-CN"/>
        </w:rPr>
        <w:t>透支利率为</w:t>
      </w:r>
      <w:r>
        <w:rPr>
          <w:rFonts w:hint="eastAsia"/>
          <w:b/>
          <w:bCs/>
          <w:snapToGrid w:val="0"/>
          <w:kern w:val="0"/>
          <w:highlight w:val="none"/>
        </w:rPr>
        <w:t>日</w:t>
      </w:r>
      <w:r>
        <w:rPr>
          <w:rFonts w:hint="eastAsia"/>
          <w:b/>
          <w:bCs/>
          <w:snapToGrid w:val="0"/>
          <w:kern w:val="0"/>
        </w:rPr>
        <w:t>利率为万分之五（近似折算年化利率为</w:t>
      </w:r>
      <w:r>
        <w:rPr>
          <w:rFonts w:hint="eastAsia" w:hAnsi="宋体"/>
          <w:b/>
          <w:bCs/>
          <w:snapToGrid w:val="0"/>
          <w:kern w:val="0"/>
        </w:rPr>
        <w:t>18.25%，</w:t>
      </w:r>
      <w:r>
        <w:rPr>
          <w:rFonts w:hint="eastAsia"/>
          <w:b/>
          <w:bCs/>
          <w:snapToGrid w:val="0"/>
          <w:kern w:val="0"/>
        </w:rPr>
        <w:t>折算公式按年利率=日利率</w:t>
      </w:r>
      <w:r>
        <w:rPr>
          <w:rFonts w:hint="eastAsia" w:hAnsi="宋体"/>
          <w:b/>
          <w:bCs/>
          <w:snapToGrid w:val="0"/>
          <w:kern w:val="0"/>
        </w:rPr>
        <w:t>*365</w:t>
      </w:r>
      <w:r>
        <w:rPr>
          <w:rFonts w:hint="eastAsia"/>
          <w:b/>
          <w:bCs/>
          <w:snapToGrid w:val="0"/>
          <w:kern w:val="0"/>
        </w:rPr>
        <w:t>计算；该年化利率采用单利计算，受大小月天数不同及持卡人还款情况不同等因素的影响，实际年化利率与上述年化利率可能存在差异），持卡人可通过本行客户服务渠道查询适用于本人的信用卡利率。若本行对持卡人信用卡利率进行调整，需通过网站、信函、短信或电子邮件等渠道（本行有权根据实际业务情况选择一种或多种方式）公告或通知持卡人，持卡人有权在新利率标准生效日前向本行申请注销信用卡。</w:t>
      </w:r>
    </w:p>
    <w:p>
      <w:pPr>
        <w:adjustRightInd w:val="0"/>
        <w:snapToGrid w:val="0"/>
        <w:spacing w:line="587" w:lineRule="atLeast"/>
        <w:ind w:firstLine="640" w:firstLineChars="200"/>
        <w:rPr>
          <w:b/>
          <w:bCs/>
          <w:snapToGrid w:val="0"/>
          <w:kern w:val="0"/>
        </w:rPr>
      </w:pPr>
      <w:r>
        <w:rPr>
          <w:rFonts w:hint="eastAsia" w:ascii="彩虹黑体" w:eastAsia="彩虹黑体"/>
          <w:snapToGrid w:val="0"/>
          <w:kern w:val="0"/>
          <w:lang w:val="zh-CN"/>
        </w:rPr>
        <w:t>第二十二条</w:t>
      </w:r>
      <w:r>
        <w:rPr>
          <w:rFonts w:hint="eastAsia"/>
          <w:b/>
          <w:snapToGrid w:val="0"/>
          <w:kern w:val="0"/>
          <w:lang w:val="zh-CN"/>
        </w:rPr>
        <w:t xml:space="preserve"> </w:t>
      </w:r>
      <w:r>
        <w:rPr>
          <w:rFonts w:hint="eastAsia"/>
          <w:b/>
          <w:bCs/>
          <w:snapToGrid w:val="0"/>
          <w:kern w:val="0"/>
        </w:rPr>
        <w:t xml:space="preserve"> 个人卡持卡人截至到期还款日未还款或还款金额不足最低还款额时，本行每次按最低还款额未还部分的</w:t>
      </w:r>
      <w:r>
        <w:rPr>
          <w:rFonts w:hint="eastAsia" w:hAnsi="宋体"/>
          <w:b/>
          <w:bCs/>
          <w:snapToGrid w:val="0"/>
          <w:kern w:val="0"/>
        </w:rPr>
        <w:t>5%</w:t>
      </w:r>
      <w:r>
        <w:rPr>
          <w:rFonts w:hint="eastAsia"/>
          <w:b/>
          <w:bCs/>
          <w:snapToGrid w:val="0"/>
          <w:kern w:val="0"/>
        </w:rPr>
        <w:t>收取还款违约金，最低</w:t>
      </w:r>
      <w:r>
        <w:rPr>
          <w:rFonts w:hint="eastAsia" w:hAnsi="宋体"/>
          <w:b/>
          <w:bCs/>
          <w:snapToGrid w:val="0"/>
          <w:kern w:val="0"/>
        </w:rPr>
        <w:t>5</w:t>
      </w:r>
      <w:r>
        <w:rPr>
          <w:rFonts w:hint="eastAsia"/>
          <w:b/>
          <w:bCs/>
          <w:snapToGrid w:val="0"/>
          <w:kern w:val="0"/>
        </w:rPr>
        <w:t>元或</w:t>
      </w:r>
      <w:r>
        <w:rPr>
          <w:rFonts w:hint="eastAsia" w:hAnsi="宋体"/>
          <w:b/>
          <w:bCs/>
          <w:snapToGrid w:val="0"/>
          <w:kern w:val="0"/>
        </w:rPr>
        <w:t>1</w:t>
      </w:r>
      <w:r>
        <w:rPr>
          <w:rFonts w:hint="eastAsia"/>
          <w:b/>
          <w:bCs/>
          <w:snapToGrid w:val="0"/>
          <w:kern w:val="0"/>
        </w:rPr>
        <w:t>美元或</w:t>
      </w:r>
      <w:r>
        <w:rPr>
          <w:rFonts w:hint="eastAsia" w:hAnsi="宋体"/>
          <w:b/>
          <w:bCs/>
          <w:snapToGrid w:val="0"/>
          <w:kern w:val="0"/>
        </w:rPr>
        <w:t>1</w:t>
      </w:r>
      <w:r>
        <w:rPr>
          <w:rFonts w:hint="eastAsia"/>
          <w:b/>
          <w:bCs/>
          <w:snapToGrid w:val="0"/>
          <w:kern w:val="0"/>
        </w:rPr>
        <w:t>欧元，币种与相应的最低还款额相同。单位卡持卡单位截至到期还款日未偿还全部应还款额时，按全部应还款额未还部分的0.5％收取还款违约金</w:t>
      </w:r>
      <w:r>
        <w:rPr>
          <w:rFonts w:hint="eastAsia"/>
          <w:b/>
          <w:bCs/>
          <w:snapToGrid w:val="0"/>
          <w:kern w:val="0"/>
          <w:lang w:eastAsia="zh-CN"/>
        </w:rPr>
        <w:t>，币种与相应的全部应还款额相同</w:t>
      </w:r>
      <w:r>
        <w:rPr>
          <w:rFonts w:hint="eastAsia"/>
          <w:b/>
          <w:bCs/>
          <w:snapToGrid w:val="0"/>
          <w:kern w:val="0"/>
        </w:rPr>
        <w:t>。另有协议约定的按约定执行。</w:t>
      </w:r>
    </w:p>
    <w:p>
      <w:pPr>
        <w:adjustRightInd w:val="0"/>
        <w:snapToGrid w:val="0"/>
        <w:spacing w:line="587" w:lineRule="atLeast"/>
        <w:ind w:firstLine="640" w:firstLineChars="200"/>
        <w:rPr>
          <w:b/>
          <w:snapToGrid w:val="0"/>
          <w:kern w:val="0"/>
        </w:rPr>
      </w:pPr>
      <w:r>
        <w:rPr>
          <w:rFonts w:hint="eastAsia" w:ascii="彩虹黑体" w:eastAsia="彩虹黑体"/>
          <w:snapToGrid w:val="0"/>
          <w:kern w:val="0"/>
          <w:lang w:val="zh-CN"/>
        </w:rPr>
        <w:t>第二十三条</w:t>
      </w:r>
      <w:r>
        <w:rPr>
          <w:rFonts w:hint="eastAsia"/>
          <w:b/>
          <w:snapToGrid w:val="0"/>
          <w:kern w:val="0"/>
        </w:rPr>
        <w:t xml:space="preserve">  本行对持卡人信用卡账户中的溢缴款不计付利息。溢缴款的取现及转出按本行相关规定执行。</w:t>
      </w:r>
    </w:p>
    <w:p>
      <w:pPr>
        <w:adjustRightInd w:val="0"/>
        <w:snapToGrid w:val="0"/>
        <w:spacing w:line="587" w:lineRule="atLeast"/>
        <w:ind w:firstLine="640" w:firstLineChars="200"/>
        <w:rPr>
          <w:snapToGrid w:val="0"/>
          <w:kern w:val="0"/>
        </w:rPr>
      </w:pPr>
      <w:r>
        <w:rPr>
          <w:rFonts w:hint="eastAsia" w:ascii="彩虹黑体" w:eastAsia="彩虹黑体"/>
          <w:snapToGrid w:val="0"/>
          <w:kern w:val="0"/>
          <w:lang w:val="zh-CN"/>
        </w:rPr>
        <w:t>第二十四条</w:t>
      </w:r>
      <w:r>
        <w:rPr>
          <w:rFonts w:hint="eastAsia"/>
          <w:snapToGrid w:val="0"/>
          <w:kern w:val="0"/>
        </w:rPr>
        <w:t xml:space="preserve">  单位卡持卡单位偿还人民币欠款的，须从其人民币基本存款账户转账存入；偿还外币欠款的，应以其经常项目下外币自有外汇资金偿还，也可向</w:t>
      </w:r>
      <w:r>
        <w:rPr>
          <w:rFonts w:hint="eastAsia"/>
          <w:snapToGrid w:val="0"/>
          <w:kern w:val="0"/>
          <w:lang w:val="en-US" w:eastAsia="zh-CN"/>
        </w:rPr>
        <w:t>本</w:t>
      </w:r>
      <w:r>
        <w:rPr>
          <w:rFonts w:hint="eastAsia"/>
          <w:snapToGrid w:val="0"/>
          <w:kern w:val="0"/>
        </w:rPr>
        <w:t>行申请办理购汇还款，但用于购汇还款的人民币资金必须从其人民币基本存款账户转入。单位卡持卡单位不得直接以销货收入或现金还款。</w:t>
      </w:r>
    </w:p>
    <w:p>
      <w:pPr>
        <w:adjustRightInd w:val="0"/>
        <w:snapToGrid w:val="0"/>
        <w:spacing w:line="587" w:lineRule="atLeast"/>
        <w:ind w:firstLine="640" w:firstLineChars="200"/>
        <w:rPr>
          <w:snapToGrid w:val="0"/>
          <w:kern w:val="0"/>
        </w:rPr>
      </w:pPr>
      <w:r>
        <w:rPr>
          <w:rFonts w:hint="eastAsia" w:ascii="彩虹黑体" w:eastAsia="彩虹黑体"/>
          <w:snapToGrid w:val="0"/>
          <w:kern w:val="0"/>
          <w:lang w:val="zh-CN"/>
        </w:rPr>
        <w:t>第二十五条</w:t>
      </w:r>
      <w:r>
        <w:rPr>
          <w:rFonts w:hint="eastAsia"/>
          <w:b/>
          <w:snapToGrid w:val="0"/>
          <w:kern w:val="0"/>
          <w:lang w:val="zh-CN"/>
        </w:rPr>
        <w:t xml:space="preserve">  </w:t>
      </w:r>
      <w:r>
        <w:rPr>
          <w:rFonts w:hint="eastAsia"/>
          <w:snapToGrid w:val="0"/>
          <w:kern w:val="0"/>
        </w:rPr>
        <w:t>个人</w:t>
      </w:r>
      <w:r>
        <w:rPr>
          <w:rFonts w:hint="eastAsia"/>
          <w:snapToGrid w:val="0"/>
          <w:color w:val="000000"/>
          <w:kern w:val="0"/>
        </w:rPr>
        <w:t>卡</w:t>
      </w:r>
      <w:r>
        <w:rPr>
          <w:rFonts w:hint="eastAsia"/>
          <w:snapToGrid w:val="0"/>
          <w:kern w:val="0"/>
        </w:rPr>
        <w:t>持卡人偿还人民币欠款的，可以其持有的现金存入或其个人银行结算账户转账存入，若从单位存款账户转入应符合《人民币银行结算账户管理办法》的有关规定；偿还外币欠款的，须以其持有或按规定购买的外币现钞存入或从其在本行开立的外汇储蓄账户转账存入，也可向</w:t>
      </w:r>
      <w:r>
        <w:rPr>
          <w:rFonts w:hint="eastAsia"/>
          <w:snapToGrid w:val="0"/>
          <w:kern w:val="0"/>
          <w:lang w:val="en-US" w:eastAsia="zh-CN"/>
        </w:rPr>
        <w:t>本</w:t>
      </w:r>
      <w:r>
        <w:rPr>
          <w:rFonts w:hint="eastAsia"/>
          <w:snapToGrid w:val="0"/>
          <w:kern w:val="0"/>
        </w:rPr>
        <w:t>行申请办理购汇还款，外币还款业务应遵循国家外汇管理局的有关规定。</w:t>
      </w:r>
    </w:p>
    <w:p>
      <w:pPr>
        <w:adjustRightInd w:val="0"/>
        <w:snapToGrid w:val="0"/>
        <w:spacing w:line="587" w:lineRule="atLeast"/>
        <w:ind w:firstLine="640" w:firstLineChars="200"/>
        <w:rPr>
          <w:snapToGrid w:val="0"/>
          <w:kern w:val="0"/>
        </w:rPr>
      </w:pPr>
      <w:r>
        <w:rPr>
          <w:rFonts w:hint="eastAsia" w:ascii="彩虹黑体" w:eastAsia="彩虹黑体"/>
          <w:snapToGrid w:val="0"/>
          <w:kern w:val="0"/>
          <w:lang w:val="zh-CN"/>
        </w:rPr>
        <w:t>第二十六条</w:t>
      </w:r>
      <w:r>
        <w:rPr>
          <w:rFonts w:hint="eastAsia"/>
          <w:snapToGrid w:val="0"/>
          <w:kern w:val="0"/>
        </w:rPr>
        <w:t xml:space="preserve">  个人卡持卡人选择约定账户还款方式的，本行将于</w:t>
      </w:r>
      <w:r>
        <w:rPr>
          <w:rFonts w:hint="eastAsia"/>
          <w:b/>
          <w:snapToGrid w:val="0"/>
          <w:kern w:val="0"/>
        </w:rPr>
        <w:t>到期还款日</w:t>
      </w:r>
      <w:r>
        <w:rPr>
          <w:rFonts w:hint="eastAsia"/>
          <w:snapToGrid w:val="0"/>
          <w:kern w:val="0"/>
        </w:rPr>
        <w:t>从其指定的个人银行结算账户中扣收相应的款项，用于归还其龙卡信用卡账户欠款。单位卡持卡单位选择约定账户还款方式的，本行将于</w:t>
      </w:r>
      <w:r>
        <w:rPr>
          <w:rFonts w:hint="eastAsia"/>
          <w:b/>
          <w:snapToGrid w:val="0"/>
          <w:kern w:val="0"/>
        </w:rPr>
        <w:t>到期还款日</w:t>
      </w:r>
      <w:r>
        <w:rPr>
          <w:rFonts w:hint="eastAsia"/>
          <w:snapToGrid w:val="0"/>
          <w:kern w:val="0"/>
        </w:rPr>
        <w:t>从其指定的单位账户中扣收相应的款项。</w:t>
      </w:r>
    </w:p>
    <w:p>
      <w:pPr>
        <w:adjustRightInd w:val="0"/>
        <w:snapToGrid w:val="0"/>
        <w:spacing w:line="560" w:lineRule="atLeast"/>
        <w:ind w:firstLine="640" w:firstLineChars="200"/>
        <w:rPr>
          <w:b/>
          <w:snapToGrid w:val="0"/>
          <w:kern w:val="0"/>
        </w:rPr>
      </w:pPr>
      <w:r>
        <w:rPr>
          <w:rFonts w:hint="eastAsia" w:ascii="彩虹黑体" w:eastAsia="彩虹黑体"/>
          <w:snapToGrid w:val="0"/>
          <w:kern w:val="0"/>
          <w:lang w:val="zh-CN"/>
        </w:rPr>
        <w:t>第二十七条</w:t>
      </w:r>
      <w:r>
        <w:rPr>
          <w:rFonts w:hint="eastAsia"/>
          <w:b/>
          <w:snapToGrid w:val="0"/>
          <w:kern w:val="0"/>
        </w:rPr>
        <w:t xml:space="preserve">  持卡人所偿还的款项，先抵偿已出账单、再抵偿未出账单，并按照费用、利息、本金的顺序逐项抵偿其欠款。逾期</w:t>
      </w:r>
      <w:r>
        <w:rPr>
          <w:rFonts w:hint="eastAsia" w:hAnsi="宋体"/>
          <w:b/>
          <w:snapToGrid w:val="0"/>
          <w:kern w:val="0"/>
        </w:rPr>
        <w:t>91天</w:t>
      </w:r>
      <w:r>
        <w:rPr>
          <w:rFonts w:hint="eastAsia"/>
          <w:b/>
          <w:snapToGrid w:val="0"/>
          <w:kern w:val="0"/>
        </w:rPr>
        <w:t>（含）以上的，按照本金、费用、利息的顺序逐项抵偿其欠款。</w:t>
      </w:r>
    </w:p>
    <w:p>
      <w:pPr>
        <w:adjustRightInd w:val="0"/>
        <w:snapToGrid w:val="0"/>
        <w:spacing w:line="560" w:lineRule="atLeast"/>
        <w:ind w:firstLine="642" w:firstLineChars="200"/>
        <w:rPr>
          <w:b/>
          <w:snapToGrid w:val="0"/>
          <w:kern w:val="0"/>
        </w:rPr>
      </w:pPr>
      <w:r>
        <w:rPr>
          <w:rFonts w:hint="eastAsia"/>
          <w:b/>
          <w:snapToGrid w:val="0"/>
          <w:kern w:val="0"/>
        </w:rPr>
        <w:t>持卡人名下有多张信用卡的，应分别对不同信用卡偿还欠款。</w:t>
      </w:r>
    </w:p>
    <w:p>
      <w:pPr>
        <w:adjustRightInd w:val="0"/>
        <w:snapToGrid w:val="0"/>
        <w:spacing w:line="560" w:lineRule="atLeast"/>
        <w:ind w:firstLine="640" w:firstLineChars="200"/>
        <w:rPr>
          <w:snapToGrid w:val="0"/>
          <w:kern w:val="0"/>
        </w:rPr>
      </w:pPr>
      <w:r>
        <w:rPr>
          <w:rFonts w:hint="eastAsia" w:ascii="彩虹黑体" w:eastAsia="彩虹黑体"/>
          <w:snapToGrid w:val="0"/>
          <w:kern w:val="0"/>
          <w:lang w:val="zh-CN"/>
        </w:rPr>
        <w:t>第二十八条</w:t>
      </w:r>
      <w:r>
        <w:rPr>
          <w:rFonts w:hint="eastAsia"/>
          <w:snapToGrid w:val="0"/>
          <w:kern w:val="0"/>
        </w:rPr>
        <w:t xml:space="preserve">  单位法定代表人（负责人）或其授权代理人申请注销该单位部分单位卡或个人卡主卡持卡人申请注销附属卡，应预先通知本行并将申请注销的卡片做销毁处理。</w:t>
      </w:r>
    </w:p>
    <w:p>
      <w:pPr>
        <w:adjustRightInd w:val="0"/>
        <w:snapToGrid w:val="0"/>
        <w:spacing w:line="560" w:lineRule="atLeast"/>
        <w:ind w:firstLine="640" w:firstLineChars="200"/>
        <w:rPr>
          <w:snapToGrid w:val="0"/>
          <w:kern w:val="0"/>
        </w:rPr>
      </w:pPr>
      <w:r>
        <w:rPr>
          <w:rFonts w:hint="eastAsia" w:ascii="彩虹黑体" w:eastAsia="彩虹黑体"/>
          <w:snapToGrid w:val="0"/>
          <w:kern w:val="0"/>
          <w:lang w:val="zh-CN"/>
        </w:rPr>
        <w:t>第二十九条</w:t>
      </w:r>
      <w:r>
        <w:rPr>
          <w:rFonts w:hint="eastAsia"/>
          <w:b/>
          <w:snapToGrid w:val="0"/>
          <w:kern w:val="0"/>
          <w:lang w:val="zh-CN"/>
        </w:rPr>
        <w:t xml:space="preserve"> </w:t>
      </w:r>
      <w:r>
        <w:rPr>
          <w:rFonts w:hint="eastAsia"/>
          <w:snapToGrid w:val="0"/>
          <w:kern w:val="0"/>
        </w:rPr>
        <w:t xml:space="preserve"> 主卡持卡人或持卡单位在信用卡有效期内或到期后不再使用龙卡信用卡的，应在偿还账户所有欠款后向本行提出账户结清申请并将同一账户下所有卡片做销毁处理，</w:t>
      </w:r>
      <w:r>
        <w:rPr>
          <w:rFonts w:hint="eastAsia"/>
          <w:b/>
          <w:snapToGrid w:val="0"/>
          <w:kern w:val="0"/>
        </w:rPr>
        <w:t>本行在受理账户结清申请</w:t>
      </w:r>
      <w:r>
        <w:rPr>
          <w:rFonts w:hint="eastAsia" w:hAnsi="宋体"/>
          <w:b/>
          <w:snapToGrid w:val="0"/>
          <w:kern w:val="0"/>
        </w:rPr>
        <w:t>45</w:t>
      </w:r>
      <w:r>
        <w:rPr>
          <w:rFonts w:hint="eastAsia"/>
          <w:b/>
          <w:snapToGrid w:val="0"/>
          <w:kern w:val="0"/>
        </w:rPr>
        <w:t>天后为其办理正式结清手续（信用卡到期已超过</w:t>
      </w:r>
      <w:r>
        <w:rPr>
          <w:rFonts w:hint="eastAsia" w:hAnsi="宋体"/>
          <w:b/>
          <w:snapToGrid w:val="0"/>
          <w:kern w:val="0"/>
        </w:rPr>
        <w:t>45</w:t>
      </w:r>
      <w:r>
        <w:rPr>
          <w:rFonts w:hint="eastAsia"/>
          <w:b/>
          <w:snapToGrid w:val="0"/>
          <w:kern w:val="0"/>
        </w:rPr>
        <w:t>天的除外）</w:t>
      </w:r>
      <w:r>
        <w:rPr>
          <w:rFonts w:hint="eastAsia"/>
          <w:snapToGrid w:val="0"/>
          <w:kern w:val="0"/>
        </w:rPr>
        <w:t>。单位卡结清账户时，账户内剩余的人民币资金转回其基本存款账户，外汇资金转回相应的外汇账户，不得提取现金。</w:t>
      </w:r>
    </w:p>
    <w:p>
      <w:pPr>
        <w:adjustRightInd w:val="0"/>
        <w:snapToGrid w:val="0"/>
        <w:spacing w:line="560" w:lineRule="atLeast"/>
        <w:ind w:firstLine="640" w:firstLineChars="200"/>
        <w:rPr>
          <w:snapToGrid w:val="0"/>
          <w:kern w:val="0"/>
        </w:rPr>
      </w:pPr>
    </w:p>
    <w:p>
      <w:pPr>
        <w:adjustRightInd w:val="0"/>
        <w:snapToGrid w:val="0"/>
        <w:spacing w:line="560" w:lineRule="atLeast"/>
        <w:jc w:val="center"/>
        <w:rPr>
          <w:rFonts w:ascii="彩虹小标宋" w:eastAsia="彩虹小标宋" w:cs="彩虹黑体"/>
          <w:snapToGrid w:val="0"/>
          <w:kern w:val="0"/>
        </w:rPr>
      </w:pPr>
      <w:r>
        <w:rPr>
          <w:rFonts w:hint="eastAsia" w:ascii="彩虹小标宋" w:eastAsia="彩虹小标宋" w:cs="彩虹黑体"/>
          <w:snapToGrid w:val="0"/>
          <w:kern w:val="0"/>
        </w:rPr>
        <w:t>第五章  本行的权利和义务</w:t>
      </w:r>
    </w:p>
    <w:p>
      <w:pPr>
        <w:adjustRightInd w:val="0"/>
        <w:snapToGrid w:val="0"/>
        <w:spacing w:line="560" w:lineRule="atLeast"/>
        <w:ind w:firstLine="640" w:firstLineChars="200"/>
        <w:rPr>
          <w:snapToGrid w:val="0"/>
          <w:kern w:val="0"/>
        </w:rPr>
      </w:pPr>
    </w:p>
    <w:p>
      <w:pPr>
        <w:adjustRightInd w:val="0"/>
        <w:snapToGrid w:val="0"/>
        <w:spacing w:line="560" w:lineRule="atLeast"/>
        <w:ind w:firstLine="640" w:firstLineChars="200"/>
        <w:rPr>
          <w:snapToGrid w:val="0"/>
          <w:kern w:val="0"/>
        </w:rPr>
      </w:pPr>
      <w:r>
        <w:rPr>
          <w:rFonts w:hint="eastAsia" w:ascii="彩虹黑体" w:eastAsia="彩虹黑体"/>
          <w:snapToGrid w:val="0"/>
          <w:kern w:val="0"/>
          <w:lang w:val="zh-CN"/>
        </w:rPr>
        <w:t>第三十条</w:t>
      </w:r>
      <w:r>
        <w:rPr>
          <w:rFonts w:hint="eastAsia"/>
          <w:b/>
          <w:snapToGrid w:val="0"/>
          <w:kern w:val="0"/>
          <w:lang w:val="zh-CN"/>
        </w:rPr>
        <w:t xml:space="preserve"> </w:t>
      </w:r>
      <w:r>
        <w:rPr>
          <w:rFonts w:hint="eastAsia"/>
          <w:snapToGrid w:val="0"/>
          <w:kern w:val="0"/>
        </w:rPr>
        <w:t xml:space="preserve"> 本行有权审查申请人的资信状况，有权根据申请人的授权向有关单位及个人依法查询、留存其身份、财产、资信等相关信息，有权根据申请人的资信状况确定是否要求其提供担保，并决定是否向申请人发卡、发卡的种类及信用额度,告知申请人审批结果。</w:t>
      </w:r>
      <w:r>
        <w:rPr>
          <w:rFonts w:hint="eastAsia"/>
          <w:b/>
          <w:snapToGrid w:val="0"/>
          <w:kern w:val="0"/>
        </w:rPr>
        <w:t>对未批准的申请，本行有权保留有关申请材料不予退还</w:t>
      </w:r>
      <w:r>
        <w:rPr>
          <w:rFonts w:hint="eastAsia"/>
          <w:snapToGrid w:val="0"/>
          <w:kern w:val="0"/>
        </w:rPr>
        <w:t>，本行承诺妥善保管前述资料，并依法采取保密措施。</w:t>
      </w:r>
    </w:p>
    <w:p>
      <w:pPr>
        <w:adjustRightInd w:val="0"/>
        <w:snapToGrid w:val="0"/>
        <w:spacing w:line="587" w:lineRule="atLeast"/>
        <w:ind w:firstLine="640" w:firstLineChars="200"/>
        <w:rPr>
          <w:b/>
          <w:snapToGrid w:val="0"/>
          <w:kern w:val="0"/>
        </w:rPr>
      </w:pPr>
      <w:r>
        <w:rPr>
          <w:rFonts w:hint="eastAsia" w:ascii="彩虹黑体" w:eastAsia="彩虹黑体"/>
          <w:snapToGrid w:val="0"/>
          <w:kern w:val="0"/>
          <w:lang w:val="zh-CN"/>
        </w:rPr>
        <w:t>第三十一条</w:t>
      </w:r>
      <w:r>
        <w:rPr>
          <w:rFonts w:hint="eastAsia"/>
          <w:b/>
          <w:snapToGrid w:val="0"/>
          <w:kern w:val="0"/>
        </w:rPr>
        <w:t xml:space="preserve">  本行有权按照公布的《信用卡价格标准》（详见附件）收取费用、利息，有权根据适用法律及有关规定调整龙卡信用卡</w:t>
      </w:r>
      <w:r>
        <w:rPr>
          <w:rFonts w:hint="eastAsia"/>
          <w:b/>
          <w:snapToGrid w:val="0"/>
          <w:kern w:val="0"/>
          <w:highlight w:val="none"/>
        </w:rPr>
        <w:t>的</w:t>
      </w:r>
      <w:r>
        <w:rPr>
          <w:rFonts w:hint="eastAsia"/>
          <w:b/>
          <w:snapToGrid w:val="0"/>
          <w:kern w:val="0"/>
          <w:highlight w:val="none"/>
          <w:lang w:val="en-US" w:eastAsia="zh-CN"/>
        </w:rPr>
        <w:t>价格标准</w:t>
      </w:r>
      <w:r>
        <w:rPr>
          <w:rFonts w:hint="eastAsia"/>
          <w:b/>
          <w:snapToGrid w:val="0"/>
          <w:kern w:val="0"/>
          <w:highlight w:val="none"/>
        </w:rPr>
        <w:t>和收</w:t>
      </w:r>
      <w:r>
        <w:rPr>
          <w:rFonts w:hint="eastAsia"/>
          <w:b/>
          <w:snapToGrid w:val="0"/>
          <w:kern w:val="0"/>
        </w:rPr>
        <w:t xml:space="preserve">取方式，如有变动，以本行最新公告为准。 </w:t>
      </w:r>
    </w:p>
    <w:p>
      <w:pPr>
        <w:pStyle w:val="3"/>
        <w:spacing w:line="587" w:lineRule="atLeast"/>
        <w:ind w:firstLine="640" w:firstLineChars="200"/>
        <w:rPr>
          <w:b/>
          <w:bCs/>
          <w:snapToGrid w:val="0"/>
          <w:u w:val="single"/>
        </w:rPr>
      </w:pPr>
      <w:r>
        <w:rPr>
          <w:rFonts w:hint="eastAsia" w:ascii="彩虹黑体" w:eastAsia="彩虹黑体" w:cs="彩虹粗仿宋"/>
          <w:snapToGrid w:val="0"/>
          <w:szCs w:val="32"/>
        </w:rPr>
        <w:t>第三十二条</w:t>
      </w:r>
      <w:r>
        <w:rPr>
          <w:rFonts w:hint="eastAsia" w:cs="彩虹粗仿宋"/>
          <w:b/>
          <w:snapToGrid w:val="0"/>
          <w:szCs w:val="32"/>
        </w:rPr>
        <w:t xml:space="preserve"> </w:t>
      </w:r>
      <w:r>
        <w:rPr>
          <w:rFonts w:hint="eastAsia"/>
          <w:snapToGrid w:val="0"/>
        </w:rPr>
        <w:t xml:space="preserve"> 本行有权根据持卡单位或持卡人的资信变动情况、用卡情况或其他因素，对持卡单位的总信用额度或持卡人的信用额度或信用卡等级进行调整。</w:t>
      </w:r>
    </w:p>
    <w:p>
      <w:pPr>
        <w:adjustRightInd w:val="0"/>
        <w:snapToGrid w:val="0"/>
        <w:spacing w:line="587" w:lineRule="atLeast"/>
        <w:ind w:firstLine="640" w:firstLineChars="200"/>
        <w:rPr>
          <w:snapToGrid w:val="0"/>
          <w:kern w:val="0"/>
        </w:rPr>
      </w:pPr>
      <w:r>
        <w:rPr>
          <w:rFonts w:hint="eastAsia" w:ascii="彩虹黑体" w:eastAsia="彩虹黑体"/>
          <w:snapToGrid w:val="0"/>
          <w:kern w:val="0"/>
          <w:lang w:val="zh-CN"/>
        </w:rPr>
        <w:t>第三十三条</w:t>
      </w:r>
      <w:r>
        <w:rPr>
          <w:rFonts w:hint="eastAsia"/>
          <w:snapToGrid w:val="0"/>
          <w:kern w:val="0"/>
        </w:rPr>
        <w:t xml:space="preserve">  信用卡注销或账户结清后，本行保留对该卡在此后发生的、因非本行原因而导致的有效交易款项及相应的利息、费用等的追索权。</w:t>
      </w:r>
    </w:p>
    <w:p>
      <w:pPr>
        <w:adjustRightInd w:val="0"/>
        <w:snapToGrid w:val="0"/>
        <w:spacing w:line="587" w:lineRule="atLeast"/>
        <w:ind w:firstLine="640" w:firstLineChars="200"/>
        <w:rPr>
          <w:snapToGrid w:val="0"/>
          <w:kern w:val="0"/>
        </w:rPr>
      </w:pPr>
      <w:r>
        <w:rPr>
          <w:rFonts w:hint="eastAsia" w:ascii="彩虹黑体" w:eastAsia="彩虹黑体"/>
          <w:snapToGrid w:val="0"/>
          <w:kern w:val="0"/>
          <w:lang w:val="zh-CN"/>
        </w:rPr>
        <w:t>第三十四条</w:t>
      </w:r>
      <w:r>
        <w:rPr>
          <w:rFonts w:hint="eastAsia"/>
          <w:b/>
          <w:snapToGrid w:val="0"/>
          <w:kern w:val="0"/>
          <w:lang w:val="zh-CN"/>
        </w:rPr>
        <w:t xml:space="preserve"> </w:t>
      </w:r>
      <w:r>
        <w:rPr>
          <w:rFonts w:hint="eastAsia"/>
          <w:snapToGrid w:val="0"/>
          <w:kern w:val="0"/>
        </w:rPr>
        <w:t xml:space="preserve"> </w:t>
      </w:r>
      <w:r>
        <w:rPr>
          <w:rFonts w:hint="eastAsia"/>
          <w:b/>
          <w:snapToGrid w:val="0"/>
          <w:kern w:val="0"/>
        </w:rPr>
        <w:t>若持卡人未依约还款，或存在违法违规、违约行为，或有欺诈等恶意行为，或存在资信状况恶化，以及存在其他账户资金风险的，本行有权选择采取如下一种或几种措施</w:t>
      </w:r>
      <w:r>
        <w:rPr>
          <w:rFonts w:hint="eastAsia"/>
          <w:snapToGrid w:val="0"/>
          <w:kern w:val="0"/>
        </w:rPr>
        <w:t>：自行或委托第三方通过信函、短信、微信、电子邮件、电话、上门、公告等方式催收欠款；要求持卡人立即偿还全部欠款；停止该卡使用；停止持卡人所有龙卡信用卡使用；要求保证人承担担保责任；处置抵押物、质物或保证金；按约定从持卡人及其担保人/共同还款人在本行开立的账户中扣收，必要时有权提请司法机关追究持卡人的法律责任或采取其他相应的追索措施；在适用法律许可的范围内将信用卡债权转让给第三方；根据约定要求持卡人支付违约金；采取其他风险控制手段。</w:t>
      </w:r>
    </w:p>
    <w:p>
      <w:pPr>
        <w:adjustRightInd w:val="0"/>
        <w:snapToGrid w:val="0"/>
        <w:spacing w:line="587" w:lineRule="atLeast"/>
        <w:ind w:firstLine="640" w:firstLineChars="200"/>
        <w:rPr>
          <w:snapToGrid w:val="0"/>
          <w:kern w:val="0"/>
        </w:rPr>
      </w:pPr>
      <w:r>
        <w:rPr>
          <w:rFonts w:hint="eastAsia" w:ascii="彩虹黑体" w:eastAsia="彩虹黑体"/>
          <w:snapToGrid w:val="0"/>
          <w:kern w:val="0"/>
          <w:lang w:val="zh-CN"/>
        </w:rPr>
        <w:t>第三十五条</w:t>
      </w:r>
      <w:r>
        <w:rPr>
          <w:rFonts w:hint="eastAsia"/>
          <w:b/>
          <w:snapToGrid w:val="0"/>
          <w:kern w:val="0"/>
          <w:lang w:val="zh-CN"/>
        </w:rPr>
        <w:t xml:space="preserve"> </w:t>
      </w:r>
      <w:r>
        <w:rPr>
          <w:rFonts w:hint="eastAsia"/>
          <w:snapToGrid w:val="0"/>
          <w:kern w:val="0"/>
        </w:rPr>
        <w:t xml:space="preserve"> 本行有权依照有权机关的指令，协助查询或冻结持卡人的信用卡账户。</w:t>
      </w:r>
    </w:p>
    <w:p>
      <w:pPr>
        <w:adjustRightInd w:val="0"/>
        <w:snapToGrid w:val="0"/>
        <w:spacing w:line="587" w:lineRule="atLeast"/>
        <w:ind w:firstLine="640" w:firstLineChars="200"/>
        <w:rPr>
          <w:snapToGrid w:val="0"/>
          <w:kern w:val="0"/>
        </w:rPr>
      </w:pPr>
      <w:r>
        <w:rPr>
          <w:rFonts w:hint="eastAsia" w:ascii="彩虹黑体" w:eastAsia="彩虹黑体"/>
          <w:snapToGrid w:val="0"/>
          <w:kern w:val="0"/>
          <w:lang w:val="zh-CN"/>
        </w:rPr>
        <w:t>第三十六条</w:t>
      </w:r>
      <w:r>
        <w:rPr>
          <w:rFonts w:hint="eastAsia"/>
          <w:b/>
          <w:snapToGrid w:val="0"/>
          <w:kern w:val="0"/>
          <w:lang w:val="zh-CN"/>
        </w:rPr>
        <w:t xml:space="preserve"> </w:t>
      </w:r>
      <w:r>
        <w:rPr>
          <w:rFonts w:hint="eastAsia"/>
          <w:snapToGrid w:val="0"/>
          <w:kern w:val="0"/>
        </w:rPr>
        <w:t xml:space="preserve"> 本行为持卡人的交易累计积分或向持卡人提供产品权益、增值服务的，本行保留变更积分规则、产品权益及增值服务种类和内容的权利。</w:t>
      </w:r>
    </w:p>
    <w:p>
      <w:pPr>
        <w:adjustRightInd w:val="0"/>
        <w:snapToGrid w:val="0"/>
        <w:spacing w:line="587" w:lineRule="atLeast"/>
        <w:ind w:firstLine="640" w:firstLineChars="200"/>
        <w:rPr>
          <w:snapToGrid w:val="0"/>
          <w:kern w:val="0"/>
          <w:lang w:val="zh-CN"/>
        </w:rPr>
      </w:pPr>
      <w:r>
        <w:rPr>
          <w:rFonts w:hint="eastAsia" w:ascii="彩虹黑体" w:eastAsia="彩虹黑体"/>
          <w:snapToGrid w:val="0"/>
          <w:kern w:val="0"/>
          <w:lang w:val="zh-CN"/>
        </w:rPr>
        <w:t>第三十七条</w:t>
      </w:r>
      <w:r>
        <w:rPr>
          <w:rFonts w:hint="eastAsia"/>
          <w:b/>
          <w:snapToGrid w:val="0"/>
          <w:kern w:val="0"/>
          <w:lang w:val="zh-CN"/>
        </w:rPr>
        <w:t xml:space="preserve">  </w:t>
      </w:r>
      <w:r>
        <w:rPr>
          <w:rFonts w:hint="eastAsia"/>
          <w:snapToGrid w:val="0"/>
          <w:kern w:val="0"/>
          <w:lang w:val="zh-CN"/>
        </w:rPr>
        <w:t>本行可通过信函</w:t>
      </w:r>
      <w:r>
        <w:rPr>
          <w:rFonts w:hint="eastAsia" w:ascii="宋体" w:hAnsi="宋体"/>
          <w:snapToGrid w:val="0"/>
          <w:kern w:val="0"/>
          <w:lang w:val="zh-CN"/>
        </w:rPr>
        <w:t>、</w:t>
      </w:r>
      <w:r>
        <w:rPr>
          <w:rFonts w:hint="eastAsia"/>
          <w:snapToGrid w:val="0"/>
          <w:kern w:val="0"/>
          <w:lang w:val="zh-CN"/>
        </w:rPr>
        <w:t>彩信或电子邮件等方式向持卡人发送对账单。</w:t>
      </w:r>
    </w:p>
    <w:p>
      <w:pPr>
        <w:pStyle w:val="3"/>
        <w:spacing w:line="587" w:lineRule="atLeast"/>
        <w:ind w:firstLine="640" w:firstLineChars="200"/>
        <w:rPr>
          <w:rFonts w:cs="彩虹粗仿宋"/>
          <w:b/>
          <w:snapToGrid w:val="0"/>
          <w:szCs w:val="32"/>
        </w:rPr>
      </w:pPr>
      <w:r>
        <w:rPr>
          <w:rFonts w:hint="eastAsia" w:ascii="彩虹黑体" w:eastAsia="彩虹黑体" w:cs="彩虹粗仿宋"/>
          <w:snapToGrid w:val="0"/>
          <w:szCs w:val="32"/>
        </w:rPr>
        <w:t>第三十八条</w:t>
      </w:r>
      <w:r>
        <w:rPr>
          <w:rFonts w:hint="eastAsia" w:cs="彩虹粗仿宋"/>
          <w:b/>
          <w:snapToGrid w:val="0"/>
          <w:szCs w:val="32"/>
        </w:rPr>
        <w:t xml:space="preserve">  因不可抗力（包括但不限于本行不能预见、不能避免并不能克服的战争、暴动、严重火灾、水灾、台风、地震、政府行为、禁令或供电、通讯、法律政策的颁布和调整等客观情况）导致银行服务不能正常使用的，本行将视情况协助客户解决或提供必要的帮助。根据不可抗力的影响，本行部分或全部免除责任。对于在交易过程中，因暂时的网络通讯故障或其他原因造成的错账现象，本行有权根据实际交易情况进行账务处理。</w:t>
      </w:r>
    </w:p>
    <w:p>
      <w:pPr>
        <w:pStyle w:val="3"/>
        <w:spacing w:line="587" w:lineRule="atLeast"/>
        <w:ind w:firstLine="640" w:firstLineChars="200"/>
        <w:rPr>
          <w:b/>
          <w:bCs/>
          <w:snapToGrid w:val="0"/>
          <w:u w:val="single"/>
        </w:rPr>
      </w:pPr>
      <w:r>
        <w:rPr>
          <w:rFonts w:hint="eastAsia" w:ascii="彩虹黑体" w:eastAsia="彩虹黑体" w:cs="彩虹粗仿宋"/>
          <w:snapToGrid w:val="0"/>
          <w:szCs w:val="32"/>
        </w:rPr>
        <w:t>第三十九条</w:t>
      </w:r>
      <w:r>
        <w:rPr>
          <w:rFonts w:hint="eastAsia"/>
          <w:snapToGrid w:val="0"/>
        </w:rPr>
        <w:t xml:space="preserve">  </w:t>
      </w:r>
      <w:r>
        <w:rPr>
          <w:rFonts w:hint="eastAsia"/>
          <w:b/>
          <w:snapToGrid w:val="0"/>
        </w:rPr>
        <w:t>本行有权根据持卡人的授权向中国人民银行金融信用信息基础数据库报送其个人信用信息（包括但不限于逾期还款等不良信用信息）。在报送逾期还款等不良信用信息前，本行可通过微信、手机银行、邮件、短信、信函等方式告知持卡人。</w:t>
      </w:r>
    </w:p>
    <w:p>
      <w:pPr>
        <w:adjustRightInd w:val="0"/>
        <w:snapToGrid w:val="0"/>
        <w:spacing w:line="587" w:lineRule="atLeast"/>
        <w:ind w:firstLine="640" w:firstLineChars="200"/>
        <w:rPr>
          <w:snapToGrid w:val="0"/>
          <w:kern w:val="0"/>
        </w:rPr>
      </w:pPr>
      <w:r>
        <w:rPr>
          <w:rFonts w:hint="eastAsia" w:ascii="彩虹黑体" w:eastAsia="彩虹黑体"/>
          <w:snapToGrid w:val="0"/>
          <w:kern w:val="0"/>
          <w:lang w:val="zh-CN"/>
        </w:rPr>
        <w:t>第四十条</w:t>
      </w:r>
      <w:r>
        <w:rPr>
          <w:rFonts w:hint="eastAsia"/>
          <w:b/>
          <w:snapToGrid w:val="0"/>
          <w:kern w:val="0"/>
          <w:lang w:val="zh-CN"/>
        </w:rPr>
        <w:t xml:space="preserve"> </w:t>
      </w:r>
      <w:r>
        <w:rPr>
          <w:rFonts w:hint="eastAsia"/>
          <w:snapToGrid w:val="0"/>
          <w:kern w:val="0"/>
        </w:rPr>
        <w:t xml:space="preserve"> 本行通过官网、营业网点、手机银行等多种渠道提供龙卡信用卡使用的有关资料，包括章程、领用协议、价格标准、使用指南等，持卡人可通过任一渠道进行查询。</w:t>
      </w:r>
    </w:p>
    <w:p>
      <w:pPr>
        <w:pStyle w:val="3"/>
        <w:spacing w:line="587" w:lineRule="atLeast"/>
        <w:ind w:firstLine="640" w:firstLineChars="200"/>
        <w:rPr>
          <w:snapToGrid w:val="0"/>
        </w:rPr>
      </w:pPr>
      <w:r>
        <w:rPr>
          <w:rFonts w:hint="eastAsia" w:ascii="彩虹黑体" w:eastAsia="彩虹黑体" w:cs="彩虹粗仿宋"/>
          <w:snapToGrid w:val="0"/>
          <w:szCs w:val="32"/>
        </w:rPr>
        <w:t>第四十一条</w:t>
      </w:r>
      <w:r>
        <w:rPr>
          <w:rFonts w:hint="eastAsia"/>
          <w:snapToGrid w:val="0"/>
        </w:rPr>
        <w:t xml:space="preserve">  本行设立24小时客户服务电话，向持卡人提供业务咨询、账户查询、投诉受理及挂失办理等服务。</w:t>
      </w:r>
    </w:p>
    <w:p>
      <w:pPr>
        <w:pStyle w:val="3"/>
        <w:spacing w:line="587" w:lineRule="atLeast"/>
        <w:ind w:firstLine="640" w:firstLineChars="200"/>
        <w:rPr>
          <w:snapToGrid w:val="0"/>
        </w:rPr>
      </w:pPr>
      <w:r>
        <w:rPr>
          <w:rFonts w:hint="eastAsia" w:ascii="彩虹黑体" w:eastAsia="彩虹黑体" w:cs="彩虹粗仿宋"/>
          <w:snapToGrid w:val="0"/>
          <w:szCs w:val="32"/>
        </w:rPr>
        <w:t>第四十二条</w:t>
      </w:r>
      <w:r>
        <w:rPr>
          <w:rFonts w:hint="eastAsia" w:cs="彩虹粗仿宋"/>
          <w:b/>
          <w:snapToGrid w:val="0"/>
          <w:szCs w:val="32"/>
        </w:rPr>
        <w:t xml:space="preserve"> </w:t>
      </w:r>
      <w:r>
        <w:rPr>
          <w:rFonts w:hint="eastAsia"/>
          <w:snapToGrid w:val="0"/>
        </w:rPr>
        <w:t xml:space="preserve"> 对有交易、费用发生，或虽未发生交易或费用但账户欠款余额不低于</w:t>
      </w:r>
      <w:r>
        <w:rPr>
          <w:rFonts w:hint="eastAsia" w:hAnsi="宋体"/>
          <w:snapToGrid w:val="0"/>
        </w:rPr>
        <w:t>1</w:t>
      </w:r>
      <w:r>
        <w:rPr>
          <w:rFonts w:hint="eastAsia"/>
          <w:snapToGrid w:val="0"/>
        </w:rPr>
        <w:t>元人民币（或1美元或1欧元）的持卡人，本行在其每月账单日结计其账务，并以发送对账单等方式将账务情况通知持卡人；持卡人因对账务变动情况有疑义而提出查询或更正要求的，本行及时给予答复。</w:t>
      </w:r>
    </w:p>
    <w:p>
      <w:pPr>
        <w:adjustRightInd w:val="0"/>
        <w:snapToGrid w:val="0"/>
        <w:spacing w:line="587" w:lineRule="atLeast"/>
        <w:ind w:firstLine="640" w:firstLineChars="200"/>
        <w:rPr>
          <w:snapToGrid w:val="0"/>
          <w:kern w:val="0"/>
        </w:rPr>
      </w:pPr>
      <w:r>
        <w:rPr>
          <w:rFonts w:hint="eastAsia" w:ascii="彩虹黑体" w:eastAsia="彩虹黑体"/>
          <w:snapToGrid w:val="0"/>
          <w:kern w:val="0"/>
          <w:lang w:val="zh-CN"/>
        </w:rPr>
        <w:t xml:space="preserve">第四十三条 </w:t>
      </w:r>
      <w:r>
        <w:rPr>
          <w:rFonts w:hint="eastAsia"/>
          <w:snapToGrid w:val="0"/>
          <w:kern w:val="0"/>
        </w:rPr>
        <w:t xml:space="preserve"> 本行有权按照与申请人、持卡人约定的用途使用、处理其个人信息，并对该信息承担保密义务，法律法规及金融监管机构另有规定的除外。</w:t>
      </w:r>
    </w:p>
    <w:p>
      <w:pPr>
        <w:adjustRightInd w:val="0"/>
        <w:snapToGrid w:val="0"/>
        <w:spacing w:line="587" w:lineRule="atLeast"/>
        <w:ind w:firstLine="640" w:firstLineChars="200"/>
        <w:rPr>
          <w:snapToGrid w:val="0"/>
          <w:kern w:val="0"/>
        </w:rPr>
      </w:pPr>
    </w:p>
    <w:p>
      <w:pPr>
        <w:adjustRightInd w:val="0"/>
        <w:snapToGrid w:val="0"/>
        <w:spacing w:line="587" w:lineRule="atLeast"/>
        <w:jc w:val="center"/>
        <w:rPr>
          <w:rFonts w:ascii="彩虹小标宋" w:eastAsia="彩虹小标宋" w:cs="彩虹黑体"/>
          <w:snapToGrid w:val="0"/>
          <w:kern w:val="0"/>
        </w:rPr>
      </w:pPr>
      <w:r>
        <w:rPr>
          <w:rFonts w:hint="eastAsia" w:ascii="彩虹小标宋" w:eastAsia="彩虹小标宋" w:cs="彩虹黑体"/>
          <w:snapToGrid w:val="0"/>
          <w:kern w:val="0"/>
        </w:rPr>
        <w:t>第六章  持卡人的权利和义务</w:t>
      </w:r>
    </w:p>
    <w:p>
      <w:pPr>
        <w:adjustRightInd w:val="0"/>
        <w:snapToGrid w:val="0"/>
        <w:spacing w:line="587" w:lineRule="atLeast"/>
        <w:ind w:firstLine="640" w:firstLineChars="200"/>
        <w:rPr>
          <w:snapToGrid w:val="0"/>
          <w:kern w:val="0"/>
        </w:rPr>
      </w:pPr>
    </w:p>
    <w:p>
      <w:pPr>
        <w:adjustRightInd w:val="0"/>
        <w:snapToGrid w:val="0"/>
        <w:spacing w:line="587" w:lineRule="atLeast"/>
        <w:ind w:firstLine="640" w:firstLineChars="200"/>
        <w:rPr>
          <w:snapToGrid w:val="0"/>
          <w:kern w:val="0"/>
        </w:rPr>
      </w:pPr>
      <w:r>
        <w:rPr>
          <w:rFonts w:hint="eastAsia" w:ascii="彩虹黑体" w:eastAsia="彩虹黑体"/>
          <w:snapToGrid w:val="0"/>
          <w:kern w:val="0"/>
          <w:lang w:val="zh-CN"/>
        </w:rPr>
        <w:t>第四十四条</w:t>
      </w:r>
      <w:r>
        <w:rPr>
          <w:rFonts w:hint="eastAsia"/>
          <w:snapToGrid w:val="0"/>
          <w:kern w:val="0"/>
        </w:rPr>
        <w:t xml:space="preserve">  持卡人有权享有本行承诺的各项服务，监督服务质量，并对不满意的服务进行投诉。为持续改善产品功能和提升服务质量，本行将不定期进行客户满意度调查。</w:t>
      </w:r>
    </w:p>
    <w:p>
      <w:pPr>
        <w:adjustRightInd w:val="0"/>
        <w:snapToGrid w:val="0"/>
        <w:spacing w:line="587" w:lineRule="atLeast"/>
        <w:ind w:firstLine="640" w:firstLineChars="200"/>
        <w:rPr>
          <w:b/>
          <w:bCs/>
          <w:snapToGrid w:val="0"/>
          <w:kern w:val="0"/>
        </w:rPr>
      </w:pPr>
      <w:r>
        <w:rPr>
          <w:rFonts w:hint="eastAsia" w:ascii="彩虹黑体" w:eastAsia="彩虹黑体"/>
          <w:snapToGrid w:val="0"/>
          <w:kern w:val="0"/>
          <w:lang w:val="zh-CN"/>
        </w:rPr>
        <w:t>第四十五条</w:t>
      </w:r>
      <w:r>
        <w:rPr>
          <w:rFonts w:hint="eastAsia"/>
          <w:snapToGrid w:val="0"/>
          <w:kern w:val="0"/>
        </w:rPr>
        <w:t xml:space="preserve">  持卡人在用卡交易后，有权向本行索取对账单，或通过本行提供的客户服务电话以及其他渠道了解其账务变动情况；对账务变动情况有疑义的，</w:t>
      </w:r>
      <w:r>
        <w:rPr>
          <w:rFonts w:hint="eastAsia"/>
          <w:b/>
          <w:bCs/>
          <w:snapToGrid w:val="0"/>
          <w:kern w:val="0"/>
        </w:rPr>
        <w:t>应于交易日后的</w:t>
      </w:r>
      <w:r>
        <w:rPr>
          <w:rFonts w:hint="eastAsia" w:hAnsi="宋体"/>
          <w:b/>
          <w:bCs/>
          <w:snapToGrid w:val="0"/>
          <w:kern w:val="0"/>
        </w:rPr>
        <w:t>50</w:t>
      </w:r>
      <w:r>
        <w:rPr>
          <w:rFonts w:hint="eastAsia"/>
          <w:b/>
          <w:bCs/>
          <w:snapToGrid w:val="0"/>
          <w:kern w:val="0"/>
        </w:rPr>
        <w:t>天内向本行提出核查申请。如查明交易确为持卡人本人所为的，相关费用（如有）由持卡人承担。</w:t>
      </w:r>
    </w:p>
    <w:p>
      <w:pPr>
        <w:adjustRightInd w:val="0"/>
        <w:snapToGrid w:val="0"/>
        <w:spacing w:line="587" w:lineRule="atLeast"/>
        <w:ind w:firstLine="640" w:firstLineChars="200"/>
        <w:rPr>
          <w:snapToGrid w:val="0"/>
          <w:kern w:val="0"/>
        </w:rPr>
      </w:pPr>
      <w:r>
        <w:rPr>
          <w:rFonts w:hint="eastAsia" w:ascii="彩虹黑体" w:eastAsia="彩虹黑体"/>
          <w:snapToGrid w:val="0"/>
          <w:kern w:val="0"/>
          <w:lang w:val="zh-CN"/>
        </w:rPr>
        <w:t>第四十六条</w:t>
      </w:r>
      <w:r>
        <w:rPr>
          <w:rFonts w:hint="eastAsia"/>
          <w:snapToGrid w:val="0"/>
          <w:kern w:val="0"/>
        </w:rPr>
        <w:t xml:space="preserve">  持卡人有权知悉信用卡的功能、使用方法、价格标准等。</w:t>
      </w:r>
    </w:p>
    <w:p>
      <w:pPr>
        <w:adjustRightInd w:val="0"/>
        <w:snapToGrid w:val="0"/>
        <w:spacing w:line="587" w:lineRule="atLeast"/>
        <w:ind w:firstLine="640" w:firstLineChars="200"/>
        <w:rPr>
          <w:snapToGrid w:val="0"/>
          <w:kern w:val="0"/>
        </w:rPr>
      </w:pPr>
      <w:r>
        <w:rPr>
          <w:rFonts w:hint="eastAsia" w:ascii="彩虹黑体" w:eastAsia="彩虹黑体"/>
          <w:snapToGrid w:val="0"/>
          <w:kern w:val="0"/>
          <w:lang w:val="zh-CN"/>
        </w:rPr>
        <w:t>第四十七条</w:t>
      </w:r>
      <w:r>
        <w:rPr>
          <w:rFonts w:hint="eastAsia"/>
          <w:snapToGrid w:val="0"/>
          <w:kern w:val="0"/>
        </w:rPr>
        <w:t xml:space="preserve">  持卡人如有日常或临时用卡需求，可向本行申请信用额度调整，本行对持卡人的额度调整申请有最终审核权。</w:t>
      </w:r>
    </w:p>
    <w:p>
      <w:pPr>
        <w:adjustRightInd w:val="0"/>
        <w:snapToGrid w:val="0"/>
        <w:spacing w:line="587" w:lineRule="atLeast"/>
        <w:ind w:firstLine="640" w:firstLineChars="200"/>
        <w:rPr>
          <w:snapToGrid w:val="0"/>
          <w:kern w:val="0"/>
        </w:rPr>
      </w:pPr>
      <w:r>
        <w:rPr>
          <w:rFonts w:hint="eastAsia"/>
          <w:snapToGrid w:val="0"/>
          <w:kern w:val="0"/>
        </w:rPr>
        <w:t>对交易及还款记录良好的持卡人，本行可在获得持卡人同意后调高持卡人信用额度。</w:t>
      </w:r>
    </w:p>
    <w:p>
      <w:pPr>
        <w:adjustRightInd w:val="0"/>
        <w:snapToGrid w:val="0"/>
        <w:spacing w:line="587" w:lineRule="atLeast"/>
        <w:ind w:firstLine="640" w:firstLineChars="200"/>
        <w:rPr>
          <w:snapToGrid w:val="0"/>
          <w:kern w:val="0"/>
        </w:rPr>
      </w:pPr>
      <w:r>
        <w:rPr>
          <w:rFonts w:hint="eastAsia" w:ascii="彩虹黑体" w:eastAsia="彩虹黑体"/>
          <w:snapToGrid w:val="0"/>
          <w:kern w:val="0"/>
          <w:lang w:val="zh-CN"/>
        </w:rPr>
        <w:t>第四十八条</w:t>
      </w:r>
      <w:r>
        <w:rPr>
          <w:rFonts w:hint="eastAsia"/>
          <w:b/>
          <w:snapToGrid w:val="0"/>
          <w:kern w:val="0"/>
          <w:lang w:val="zh-CN"/>
        </w:rPr>
        <w:t xml:space="preserve"> </w:t>
      </w:r>
      <w:r>
        <w:rPr>
          <w:rFonts w:hint="eastAsia"/>
          <w:b/>
          <w:snapToGrid w:val="0"/>
          <w:kern w:val="0"/>
        </w:rPr>
        <w:t xml:space="preserve"> </w:t>
      </w:r>
      <w:r>
        <w:rPr>
          <w:rFonts w:hint="eastAsia"/>
          <w:b/>
          <w:bCs/>
          <w:snapToGrid w:val="0"/>
          <w:kern w:val="0"/>
        </w:rPr>
        <w:t>持卡人应妥善保管龙卡信用卡卡片，以及实体卡/虚拟卡的卡片信息、密码、本行发送的动态验证信息、交易凭证等，不应将卡片信息、密码、动态验证信息等泄露给他人。</w:t>
      </w:r>
      <w:r>
        <w:rPr>
          <w:rFonts w:hint="eastAsia"/>
          <w:b/>
          <w:snapToGrid w:val="0"/>
          <w:kern w:val="0"/>
        </w:rPr>
        <w:t>如信用卡遗失或被盗，持卡人应立即通过本行手机银行、网上银行或客户服务电话或营业网点等方式办理挂失。</w:t>
      </w:r>
    </w:p>
    <w:p>
      <w:pPr>
        <w:adjustRightInd w:val="0"/>
        <w:snapToGrid w:val="0"/>
        <w:spacing w:line="587" w:lineRule="atLeast"/>
        <w:ind w:firstLine="642" w:firstLineChars="200"/>
        <w:rPr>
          <w:b/>
          <w:snapToGrid w:val="0"/>
          <w:kern w:val="0"/>
        </w:rPr>
      </w:pPr>
      <w:r>
        <w:rPr>
          <w:rFonts w:hint="eastAsia"/>
          <w:b/>
          <w:snapToGrid w:val="0"/>
          <w:kern w:val="0"/>
        </w:rPr>
        <w:t>持卡人应及时关注本行发出的公告、风险提示等安全用卡信息，在安全用卡环境下使用信用卡，用卡时应注意防止密码、动态验证码泄露，避免在信任度较低的网站使用信用卡。</w:t>
      </w:r>
    </w:p>
    <w:p>
      <w:pPr>
        <w:adjustRightInd w:val="0"/>
        <w:snapToGrid w:val="0"/>
        <w:spacing w:line="587" w:lineRule="atLeast"/>
        <w:ind w:firstLine="642" w:firstLineChars="200"/>
        <w:rPr>
          <w:b/>
          <w:snapToGrid w:val="0"/>
          <w:kern w:val="0"/>
        </w:rPr>
      </w:pPr>
      <w:r>
        <w:rPr>
          <w:rFonts w:hint="eastAsia"/>
          <w:b/>
          <w:snapToGrid w:val="0"/>
          <w:kern w:val="0"/>
        </w:rPr>
        <w:t>因持卡人泄漏卡片信息、密码、动态验证码等重要信息、未尽到防范风险义务或因持卡人引起的其他原因导致持卡人账户资金损失的，该损失由持卡人承担；因本行过错、违约或法律法规规定的银行负有责任的其他原因造成的持卡人账户资金损失，由本行承担相应责任。</w:t>
      </w:r>
    </w:p>
    <w:p>
      <w:pPr>
        <w:adjustRightInd w:val="0"/>
        <w:snapToGrid w:val="0"/>
        <w:spacing w:line="587" w:lineRule="atLeast"/>
        <w:ind w:firstLine="640" w:firstLineChars="200"/>
        <w:rPr>
          <w:snapToGrid w:val="0"/>
          <w:kern w:val="0"/>
        </w:rPr>
      </w:pPr>
      <w:r>
        <w:rPr>
          <w:rFonts w:hint="eastAsia" w:ascii="彩虹黑体" w:eastAsia="彩虹黑体"/>
          <w:snapToGrid w:val="0"/>
          <w:kern w:val="0"/>
          <w:lang w:val="zh-CN"/>
        </w:rPr>
        <w:t>第四十九条</w:t>
      </w:r>
      <w:r>
        <w:rPr>
          <w:rFonts w:hint="eastAsia"/>
          <w:b/>
          <w:snapToGrid w:val="0"/>
          <w:kern w:val="0"/>
          <w:lang w:val="zh-CN"/>
        </w:rPr>
        <w:t xml:space="preserve"> </w:t>
      </w:r>
      <w:r>
        <w:rPr>
          <w:rFonts w:hint="eastAsia"/>
          <w:b/>
          <w:snapToGrid w:val="0"/>
          <w:kern w:val="0"/>
        </w:rPr>
        <w:t xml:space="preserve"> 龙卡信用卡只能由持卡人本人使用，因出租、转让或转借信用卡而导致的经济责任及产生的风险损失，由持卡人承担</w:t>
      </w:r>
      <w:r>
        <w:rPr>
          <w:rFonts w:hint="eastAsia"/>
          <w:snapToGrid w:val="0"/>
          <w:kern w:val="0"/>
        </w:rPr>
        <w:t>。</w:t>
      </w:r>
    </w:p>
    <w:p>
      <w:pPr>
        <w:adjustRightInd w:val="0"/>
        <w:snapToGrid w:val="0"/>
        <w:spacing w:line="587" w:lineRule="atLeast"/>
        <w:ind w:firstLine="640" w:firstLineChars="200"/>
        <w:rPr>
          <w:snapToGrid w:val="0"/>
          <w:kern w:val="0"/>
        </w:rPr>
      </w:pPr>
      <w:r>
        <w:rPr>
          <w:rFonts w:hint="eastAsia" w:ascii="彩虹黑体" w:eastAsia="彩虹黑体"/>
          <w:snapToGrid w:val="0"/>
          <w:kern w:val="0"/>
          <w:lang w:val="zh-CN"/>
        </w:rPr>
        <w:t>第五十条</w:t>
      </w:r>
      <w:r>
        <w:rPr>
          <w:rFonts w:hint="eastAsia"/>
          <w:b/>
          <w:snapToGrid w:val="0"/>
          <w:kern w:val="0"/>
          <w:lang w:val="zh-CN"/>
        </w:rPr>
        <w:t xml:space="preserve"> </w:t>
      </w:r>
      <w:r>
        <w:rPr>
          <w:rFonts w:hint="eastAsia"/>
          <w:snapToGrid w:val="0"/>
          <w:kern w:val="0"/>
        </w:rPr>
        <w:t xml:space="preserve"> 持卡人对龙卡信用卡账户正式结清前发生的所有有效交易款项及相应的利息、费用，均负有清偿责任。</w:t>
      </w:r>
    </w:p>
    <w:p>
      <w:pPr>
        <w:adjustRightInd w:val="0"/>
        <w:snapToGrid w:val="0"/>
        <w:spacing w:line="587" w:lineRule="atLeast"/>
        <w:ind w:firstLine="640" w:firstLineChars="200"/>
        <w:rPr>
          <w:snapToGrid w:val="0"/>
          <w:kern w:val="0"/>
        </w:rPr>
      </w:pPr>
      <w:r>
        <w:rPr>
          <w:rFonts w:hint="eastAsia" w:ascii="彩虹黑体" w:eastAsia="彩虹黑体"/>
          <w:snapToGrid w:val="0"/>
          <w:kern w:val="0"/>
          <w:lang w:val="zh-CN"/>
        </w:rPr>
        <w:t>第五十一条</w:t>
      </w:r>
      <w:r>
        <w:rPr>
          <w:rFonts w:hint="eastAsia"/>
          <w:snapToGrid w:val="0"/>
          <w:kern w:val="0"/>
        </w:rPr>
        <w:t xml:space="preserve">  持卡人应在本行核定的信用额度内用款，并在到期还款日（含）前以欠款的相应币种偿还全部应还款额或最低还款额。持卡人选择约定账户还款方式的，应当在指定还款账户中保留足够的余额。</w:t>
      </w:r>
    </w:p>
    <w:p>
      <w:pPr>
        <w:adjustRightInd w:val="0"/>
        <w:snapToGrid w:val="0"/>
        <w:spacing w:line="587" w:lineRule="atLeast"/>
        <w:ind w:firstLine="640" w:firstLineChars="200"/>
        <w:rPr>
          <w:b/>
          <w:bCs/>
          <w:snapToGrid w:val="0"/>
          <w:kern w:val="0"/>
        </w:rPr>
      </w:pPr>
      <w:r>
        <w:rPr>
          <w:rFonts w:hint="eastAsia" w:ascii="彩虹黑体" w:eastAsia="彩虹黑体"/>
          <w:snapToGrid w:val="0"/>
          <w:kern w:val="0"/>
          <w:lang w:val="zh-CN"/>
        </w:rPr>
        <w:t>第五十二条</w:t>
      </w:r>
      <w:r>
        <w:rPr>
          <w:rFonts w:hint="eastAsia"/>
          <w:b/>
          <w:snapToGrid w:val="0"/>
          <w:kern w:val="0"/>
          <w:lang w:val="zh-CN"/>
        </w:rPr>
        <w:t xml:space="preserve"> </w:t>
      </w:r>
      <w:r>
        <w:rPr>
          <w:rFonts w:hint="eastAsia"/>
          <w:b/>
          <w:bCs/>
          <w:snapToGrid w:val="0"/>
          <w:kern w:val="0"/>
        </w:rPr>
        <w:t xml:space="preserve"> 持卡人与商户之间发生的交易纠纷，应由双方解决，持卡人不得以此为由拒绝向本行偿还所欠款项。</w:t>
      </w:r>
    </w:p>
    <w:p>
      <w:pPr>
        <w:pStyle w:val="3"/>
        <w:spacing w:line="587" w:lineRule="atLeast"/>
        <w:ind w:firstLine="640" w:firstLineChars="200"/>
        <w:rPr>
          <w:snapToGrid w:val="0"/>
        </w:rPr>
      </w:pPr>
      <w:r>
        <w:rPr>
          <w:rFonts w:hint="eastAsia" w:ascii="彩虹黑体" w:eastAsia="彩虹黑体" w:cs="彩虹粗仿宋"/>
          <w:snapToGrid w:val="0"/>
          <w:szCs w:val="32"/>
        </w:rPr>
        <w:t>第五十三条</w:t>
      </w:r>
      <w:r>
        <w:rPr>
          <w:rFonts w:hint="eastAsia" w:cs="彩虹粗仿宋"/>
          <w:b/>
          <w:snapToGrid w:val="0"/>
          <w:szCs w:val="32"/>
        </w:rPr>
        <w:t xml:space="preserve"> </w:t>
      </w:r>
      <w:r>
        <w:rPr>
          <w:rFonts w:hint="eastAsia"/>
          <w:snapToGrid w:val="0"/>
        </w:rPr>
        <w:t xml:space="preserve"> </w:t>
      </w:r>
      <w:r>
        <w:rPr>
          <w:rFonts w:hint="eastAsia"/>
          <w:b/>
          <w:bCs/>
          <w:snapToGrid w:val="0"/>
        </w:rPr>
        <w:t>持卡人不得利用龙卡信用卡通过虚假交易等方式套取资金，信用卡资金不得用于购房、生产经营、偿还贷款、投资等领域，严禁流入政策限制或者禁止性领域。</w:t>
      </w:r>
      <w:r>
        <w:rPr>
          <w:rFonts w:hint="eastAsia"/>
          <w:snapToGrid w:val="0"/>
        </w:rPr>
        <w:t>否则，除适用本章程第三十四条的规定外，</w:t>
      </w:r>
      <w:r>
        <w:rPr>
          <w:rFonts w:hint="eastAsia"/>
          <w:b/>
          <w:snapToGrid w:val="0"/>
        </w:rPr>
        <w:t>本行同时有权对此类交易补计等同于预借现金所产生的利息</w:t>
      </w:r>
      <w:r>
        <w:rPr>
          <w:rFonts w:hint="eastAsia"/>
          <w:b/>
          <w:snapToGrid w:val="0"/>
          <w:lang w:val="en-US" w:eastAsia="zh-CN"/>
        </w:rPr>
        <w:t>及费用</w:t>
      </w:r>
      <w:r>
        <w:rPr>
          <w:rFonts w:hint="eastAsia"/>
          <w:b/>
          <w:snapToGrid w:val="0"/>
        </w:rPr>
        <w:t>。</w:t>
      </w:r>
    </w:p>
    <w:p>
      <w:pPr>
        <w:adjustRightInd w:val="0"/>
        <w:snapToGrid w:val="0"/>
        <w:spacing w:line="587" w:lineRule="atLeast"/>
        <w:ind w:firstLine="640" w:firstLineChars="200"/>
        <w:rPr>
          <w:b/>
          <w:bCs/>
          <w:snapToGrid w:val="0"/>
          <w:kern w:val="0"/>
        </w:rPr>
      </w:pPr>
      <w:r>
        <w:rPr>
          <w:rFonts w:hint="eastAsia" w:ascii="彩虹黑体" w:eastAsia="彩虹黑体"/>
          <w:snapToGrid w:val="0"/>
          <w:kern w:val="0"/>
          <w:lang w:val="zh-CN"/>
        </w:rPr>
        <w:t>第五十四条</w:t>
      </w:r>
      <w:r>
        <w:rPr>
          <w:rFonts w:hint="eastAsia"/>
          <w:b/>
          <w:snapToGrid w:val="0"/>
          <w:kern w:val="0"/>
          <w:lang w:val="zh-CN"/>
        </w:rPr>
        <w:t xml:space="preserve"> </w:t>
      </w:r>
      <w:r>
        <w:rPr>
          <w:rFonts w:hint="eastAsia"/>
          <w:snapToGrid w:val="0"/>
          <w:kern w:val="0"/>
        </w:rPr>
        <w:t xml:space="preserve"> 持卡人应注意查收对账单，如未按时收到对账单，应及时查询。</w:t>
      </w:r>
      <w:r>
        <w:rPr>
          <w:rFonts w:hint="eastAsia"/>
          <w:b/>
          <w:bCs/>
          <w:snapToGrid w:val="0"/>
          <w:kern w:val="0"/>
        </w:rPr>
        <w:t>持卡人不能以未收到对账单为由延迟或拒绝向本行偿还所欠款项。</w:t>
      </w:r>
    </w:p>
    <w:p>
      <w:pPr>
        <w:adjustRightInd w:val="0"/>
        <w:snapToGrid w:val="0"/>
        <w:spacing w:line="587" w:lineRule="atLeast"/>
        <w:ind w:firstLine="640" w:firstLineChars="200"/>
        <w:rPr>
          <w:snapToGrid w:val="0"/>
          <w:kern w:val="0"/>
        </w:rPr>
      </w:pPr>
      <w:r>
        <w:rPr>
          <w:rFonts w:hint="eastAsia" w:ascii="彩虹黑体" w:eastAsia="彩虹黑体"/>
          <w:snapToGrid w:val="0"/>
          <w:kern w:val="0"/>
          <w:lang w:val="zh-CN"/>
        </w:rPr>
        <w:t>第五十五条</w:t>
      </w:r>
      <w:r>
        <w:rPr>
          <w:rFonts w:hint="eastAsia"/>
          <w:b/>
          <w:snapToGrid w:val="0"/>
          <w:kern w:val="0"/>
          <w:lang w:val="zh-CN"/>
        </w:rPr>
        <w:t xml:space="preserve"> </w:t>
      </w:r>
      <w:r>
        <w:rPr>
          <w:rFonts w:hint="eastAsia"/>
          <w:b/>
          <w:snapToGrid w:val="0"/>
          <w:kern w:val="0"/>
        </w:rPr>
        <w:t xml:space="preserve"> 如持卡人个人资料、联系地址、通讯方式或指定的对账单发送地址等发生变动，应在变动后立即通过本行营业网点、客户服务电话、个人网银、手机银行或以本行认可的其他形式通知本行。</w:t>
      </w:r>
    </w:p>
    <w:p>
      <w:pPr>
        <w:adjustRightInd w:val="0"/>
        <w:snapToGrid w:val="0"/>
        <w:spacing w:line="587" w:lineRule="atLeast"/>
        <w:ind w:firstLine="640" w:firstLineChars="200"/>
        <w:rPr>
          <w:rFonts w:hint="eastAsia"/>
          <w:snapToGrid w:val="0"/>
          <w:kern w:val="0"/>
        </w:rPr>
      </w:pPr>
      <w:r>
        <w:rPr>
          <w:rFonts w:hint="eastAsia" w:ascii="彩虹黑体" w:eastAsia="彩虹黑体"/>
          <w:snapToGrid w:val="0"/>
          <w:kern w:val="0"/>
          <w:lang w:val="zh-CN"/>
        </w:rPr>
        <w:t>第五十六条</w:t>
      </w:r>
      <w:r>
        <w:rPr>
          <w:rFonts w:hint="eastAsia"/>
          <w:b/>
          <w:snapToGrid w:val="0"/>
          <w:kern w:val="0"/>
          <w:lang w:val="zh-CN"/>
        </w:rPr>
        <w:t xml:space="preserve"> </w:t>
      </w:r>
      <w:r>
        <w:rPr>
          <w:rFonts w:hint="eastAsia"/>
          <w:snapToGrid w:val="0"/>
          <w:kern w:val="0"/>
        </w:rPr>
        <w:t xml:space="preserve"> 本行根据有权机关的冻结指令冻结持卡人信用卡账户的，如账户冻结期间因非本行的原因导致仍有交易发生的，持卡人对相应欠款仍负清偿责任。</w:t>
      </w:r>
    </w:p>
    <w:p>
      <w:pPr>
        <w:widowControl/>
        <w:adjustRightInd w:val="0"/>
        <w:snapToGrid w:val="0"/>
        <w:spacing w:line="587" w:lineRule="atLeast"/>
        <w:ind w:firstLine="640" w:firstLineChars="200"/>
        <w:jc w:val="left"/>
        <w:rPr>
          <w:rFonts w:hint="eastAsia" w:eastAsia="彩虹粗仿宋"/>
          <w:snapToGrid w:val="0"/>
          <w:kern w:val="0"/>
          <w:lang w:val="en-US" w:eastAsia="zh-CN"/>
        </w:rPr>
      </w:pPr>
      <w:r>
        <w:rPr>
          <w:rFonts w:hint="eastAsia" w:ascii="彩虹黑体" w:eastAsia="彩虹黑体"/>
          <w:snapToGrid w:val="0"/>
          <w:kern w:val="0"/>
          <w:lang w:val="zh-CN"/>
        </w:rPr>
        <w:t>第五十</w:t>
      </w:r>
      <w:r>
        <w:rPr>
          <w:rFonts w:hint="eastAsia" w:ascii="彩虹黑体" w:eastAsia="彩虹黑体"/>
          <w:snapToGrid w:val="0"/>
          <w:kern w:val="0"/>
          <w:lang w:val="zh-CN" w:eastAsia="zh-CN"/>
        </w:rPr>
        <w:t>七</w:t>
      </w:r>
      <w:r>
        <w:rPr>
          <w:rFonts w:hint="eastAsia" w:ascii="彩虹黑体" w:eastAsia="彩虹黑体"/>
          <w:snapToGrid w:val="0"/>
          <w:kern w:val="0"/>
          <w:lang w:val="zh-CN"/>
        </w:rPr>
        <w:t>条</w:t>
      </w:r>
      <w:r>
        <w:rPr>
          <w:rFonts w:hint="eastAsia" w:ascii="彩虹粗仿宋" w:eastAsia="彩虹粗仿宋"/>
          <w:snapToGrid w:val="0"/>
          <w:kern w:val="0"/>
          <w:lang w:val="en-US" w:eastAsia="zh-CN"/>
        </w:rPr>
        <w:t xml:space="preserve">  持卡人应确保信用卡资金来源合法，交易背景真实、合法，不得利用信用卡从事洗钱活动或者为洗钱活动提供便利。</w:t>
      </w:r>
    </w:p>
    <w:p>
      <w:pPr>
        <w:adjustRightInd w:val="0"/>
        <w:snapToGrid w:val="0"/>
        <w:spacing w:line="587" w:lineRule="atLeast"/>
        <w:rPr>
          <w:snapToGrid w:val="0"/>
          <w:kern w:val="0"/>
        </w:rPr>
      </w:pPr>
    </w:p>
    <w:p>
      <w:pPr>
        <w:adjustRightInd w:val="0"/>
        <w:snapToGrid w:val="0"/>
        <w:spacing w:line="587" w:lineRule="atLeast"/>
        <w:jc w:val="center"/>
        <w:rPr>
          <w:rFonts w:ascii="彩虹小标宋" w:eastAsia="彩虹小标宋" w:cs="彩虹黑体"/>
          <w:snapToGrid w:val="0"/>
          <w:kern w:val="0"/>
        </w:rPr>
      </w:pPr>
      <w:r>
        <w:rPr>
          <w:rFonts w:hint="eastAsia" w:ascii="彩虹小标宋" w:eastAsia="彩虹小标宋" w:cs="彩虹黑体"/>
          <w:snapToGrid w:val="0"/>
          <w:kern w:val="0"/>
        </w:rPr>
        <w:t>第七章  附  则</w:t>
      </w:r>
    </w:p>
    <w:p>
      <w:pPr>
        <w:adjustRightInd w:val="0"/>
        <w:snapToGrid w:val="0"/>
        <w:spacing w:line="587" w:lineRule="atLeast"/>
        <w:ind w:firstLine="640" w:firstLineChars="200"/>
        <w:rPr>
          <w:snapToGrid w:val="0"/>
          <w:kern w:val="0"/>
        </w:rPr>
      </w:pPr>
    </w:p>
    <w:p>
      <w:pPr>
        <w:adjustRightInd w:val="0"/>
        <w:snapToGrid w:val="0"/>
        <w:spacing w:line="587" w:lineRule="atLeast"/>
        <w:ind w:firstLine="640" w:firstLineChars="200"/>
        <w:rPr>
          <w:b/>
          <w:snapToGrid w:val="0"/>
          <w:kern w:val="0"/>
        </w:rPr>
      </w:pPr>
      <w:r>
        <w:rPr>
          <w:rFonts w:hint="eastAsia" w:ascii="彩虹黑体" w:eastAsia="彩虹黑体"/>
          <w:snapToGrid w:val="0"/>
          <w:kern w:val="0"/>
          <w:lang w:val="zh-CN"/>
        </w:rPr>
        <w:t>第五十</w:t>
      </w:r>
      <w:r>
        <w:rPr>
          <w:rFonts w:hint="eastAsia" w:ascii="彩虹黑体" w:eastAsia="彩虹黑体"/>
          <w:snapToGrid w:val="0"/>
          <w:kern w:val="0"/>
          <w:lang w:val="en-US" w:eastAsia="zh-CN"/>
        </w:rPr>
        <w:t>八</w:t>
      </w:r>
      <w:r>
        <w:rPr>
          <w:rFonts w:hint="eastAsia" w:ascii="彩虹黑体" w:eastAsia="彩虹黑体"/>
          <w:snapToGrid w:val="0"/>
          <w:kern w:val="0"/>
          <w:lang w:val="zh-CN"/>
        </w:rPr>
        <w:t>条</w:t>
      </w:r>
      <w:r>
        <w:rPr>
          <w:rFonts w:hint="eastAsia"/>
          <w:b/>
          <w:snapToGrid w:val="0"/>
          <w:kern w:val="0"/>
          <w:lang w:val="zh-CN"/>
        </w:rPr>
        <w:t xml:space="preserve">  </w:t>
      </w:r>
      <w:r>
        <w:rPr>
          <w:rFonts w:hint="eastAsia"/>
          <w:snapToGrid w:val="0"/>
          <w:kern w:val="0"/>
        </w:rPr>
        <w:t>本章程未尽事宜，按照国家有关法律、法规、规章以及《中国建设银行龙卡信用卡领用协议》和《中国建设银行龙卡信用卡申请表》中各项规定执行。</w:t>
      </w:r>
      <w:r>
        <w:rPr>
          <w:rFonts w:hint="eastAsia"/>
          <w:b/>
          <w:snapToGrid w:val="0"/>
          <w:kern w:val="0"/>
        </w:rPr>
        <w:t>持卡人用卡交易过程中的有关争议、差错处理按照银联、</w:t>
      </w:r>
      <w:r>
        <w:rPr>
          <w:rFonts w:hint="eastAsia" w:hAnsi="宋体"/>
          <w:b/>
          <w:snapToGrid w:val="0"/>
          <w:kern w:val="0"/>
        </w:rPr>
        <w:t>VISA、MasterCard、JCB、American Express</w:t>
      </w:r>
      <w:r>
        <w:rPr>
          <w:rFonts w:hint="eastAsia"/>
          <w:b/>
          <w:snapToGrid w:val="0"/>
          <w:kern w:val="0"/>
        </w:rPr>
        <w:t>等信用卡组织或公司及其相关清算机构的规定执行。</w:t>
      </w:r>
    </w:p>
    <w:p>
      <w:pPr>
        <w:pStyle w:val="3"/>
        <w:spacing w:line="587" w:lineRule="atLeast"/>
        <w:ind w:firstLine="640" w:firstLineChars="200"/>
        <w:rPr>
          <w:b/>
          <w:snapToGrid w:val="0"/>
        </w:rPr>
      </w:pPr>
      <w:r>
        <w:rPr>
          <w:rFonts w:hint="eastAsia" w:ascii="彩虹黑体" w:eastAsia="彩虹黑体" w:cs="彩虹粗仿宋"/>
          <w:snapToGrid w:val="0"/>
          <w:szCs w:val="32"/>
        </w:rPr>
        <w:t>第五十</w:t>
      </w:r>
      <w:r>
        <w:rPr>
          <w:rFonts w:hint="eastAsia" w:ascii="彩虹黑体" w:eastAsia="彩虹黑体" w:cs="彩虹粗仿宋"/>
          <w:snapToGrid w:val="0"/>
          <w:szCs w:val="32"/>
          <w:lang w:val="en-US" w:eastAsia="zh-CN"/>
        </w:rPr>
        <w:t>九</w:t>
      </w:r>
      <w:r>
        <w:rPr>
          <w:rFonts w:hint="eastAsia" w:ascii="彩虹黑体" w:eastAsia="彩虹黑体" w:cs="彩虹粗仿宋"/>
          <w:snapToGrid w:val="0"/>
          <w:szCs w:val="32"/>
        </w:rPr>
        <w:t>条</w:t>
      </w:r>
      <w:r>
        <w:rPr>
          <w:rFonts w:hint="eastAsia" w:cs="彩虹粗仿宋"/>
          <w:b/>
          <w:snapToGrid w:val="0"/>
          <w:szCs w:val="32"/>
        </w:rPr>
        <w:t xml:space="preserve"> </w:t>
      </w:r>
      <w:r>
        <w:rPr>
          <w:rFonts w:hint="eastAsia"/>
          <w:b/>
          <w:snapToGrid w:val="0"/>
        </w:rPr>
        <w:t xml:space="preserve"> 本行以合法方式发布的公告均同样适用于龙卡信用卡申请人及持卡人。如该公告与本章程相关内容不一致的，以发布在后的为准。</w:t>
      </w:r>
    </w:p>
    <w:p>
      <w:pPr>
        <w:pStyle w:val="4"/>
        <w:adjustRightInd w:val="0"/>
        <w:snapToGrid w:val="0"/>
        <w:spacing w:line="587" w:lineRule="atLeast"/>
        <w:ind w:firstLine="640" w:firstLineChars="200"/>
        <w:rPr>
          <w:rFonts w:hint="eastAsia" w:hAnsi="Calibri" w:eastAsia="彩虹黑体" w:cs="Times New Roman"/>
          <w:b/>
          <w:snapToGrid w:val="0"/>
          <w:kern w:val="0"/>
          <w:sz w:val="32"/>
          <w:szCs w:val="20"/>
          <w:lang w:val="en-US" w:eastAsia="zh-CN"/>
        </w:rPr>
      </w:pPr>
      <w:r>
        <w:rPr>
          <w:rFonts w:hint="eastAsia" w:ascii="彩虹黑体" w:hAnsi="Calibri" w:eastAsia="彩虹黑体"/>
          <w:snapToGrid w:val="0"/>
          <w:kern w:val="0"/>
          <w:sz w:val="32"/>
          <w:szCs w:val="32"/>
        </w:rPr>
        <w:t>第</w:t>
      </w:r>
      <w:r>
        <w:rPr>
          <w:rFonts w:hint="eastAsia" w:ascii="彩虹黑体" w:hAnsi="Calibri" w:eastAsia="彩虹黑体"/>
          <w:snapToGrid w:val="0"/>
          <w:kern w:val="0"/>
          <w:sz w:val="32"/>
          <w:szCs w:val="32"/>
          <w:lang w:val="en-US" w:eastAsia="zh-CN"/>
        </w:rPr>
        <w:t>六</w:t>
      </w:r>
      <w:r>
        <w:rPr>
          <w:rFonts w:hint="eastAsia" w:ascii="彩虹黑体" w:hAnsi="Calibri" w:eastAsia="彩虹黑体"/>
          <w:snapToGrid w:val="0"/>
          <w:kern w:val="0"/>
          <w:sz w:val="32"/>
          <w:szCs w:val="32"/>
        </w:rPr>
        <w:t>十条</w:t>
      </w:r>
      <w:r>
        <w:rPr>
          <w:rFonts w:hint="eastAsia"/>
          <w:snapToGrid w:val="0"/>
          <w:szCs w:val="32"/>
        </w:rPr>
        <w:t xml:space="preserve">  </w:t>
      </w:r>
      <w:r>
        <w:rPr>
          <w:rFonts w:hint="eastAsia"/>
          <w:snapToGrid w:val="0"/>
          <w:kern w:val="0"/>
          <w:sz w:val="32"/>
          <w:szCs w:val="32"/>
        </w:rPr>
        <w:t>本章程由本行负责制定和修改，按规定公告后，自公告中载明的生效日期开始施行，原《中国建设银行龙卡信用卡章程</w:t>
      </w:r>
      <w:r>
        <w:rPr>
          <w:rFonts w:hint="eastAsia" w:cs="彩虹粗仿宋"/>
          <w:snapToGrid w:val="0"/>
          <w:kern w:val="0"/>
          <w:sz w:val="32"/>
          <w:szCs w:val="32"/>
          <w:lang w:val="en-US" w:eastAsia="zh-CN" w:bidi="ar"/>
        </w:rPr>
        <w:t>（2022年版）</w:t>
      </w:r>
      <w:r>
        <w:rPr>
          <w:rFonts w:hint="eastAsia"/>
          <w:snapToGrid w:val="0"/>
          <w:kern w:val="0"/>
          <w:sz w:val="32"/>
          <w:szCs w:val="32"/>
        </w:rPr>
        <w:t>》同时废止。公告期内如持卡人对公告内容有疑问，可致电中国建设银行客户服务热线进行咨询。</w:t>
      </w:r>
      <w:r>
        <w:rPr>
          <w:rFonts w:hint="eastAsia" w:hAnsi="Calibri" w:cs="Times New Roman"/>
          <w:b/>
          <w:snapToGrid w:val="0"/>
          <w:kern w:val="0"/>
          <w:sz w:val="32"/>
          <w:szCs w:val="20"/>
        </w:rPr>
        <w:t>在公告期内，持卡人有权选择是否接受相关调整。如不接受相关调整，持卡人应在调整施行前终止使用信用卡，并按照规定办理销户手续，变更内容对持卡人不产生效力；否则视为持卡人接受相关调整，本行将执行调整后的内容。若持卡人不执行变更后的内容，本行有权选择终止本服务。</w:t>
      </w:r>
    </w:p>
    <w:p>
      <w:pPr>
        <w:adjustRightInd w:val="0"/>
        <w:snapToGrid w:val="0"/>
        <w:spacing w:line="587" w:lineRule="atLeast"/>
        <w:rPr>
          <w:rFonts w:hAnsi="宋体"/>
        </w:rPr>
      </w:pPr>
    </w:p>
    <w:p>
      <w:pPr>
        <w:tabs>
          <w:tab w:val="left" w:pos="6840"/>
        </w:tabs>
        <w:adjustRightInd w:val="0"/>
        <w:snapToGrid w:val="0"/>
        <w:spacing w:line="587" w:lineRule="atLeast"/>
        <w:ind w:firstLine="640" w:firstLineChars="200"/>
        <w:rPr>
          <w:rFonts w:hAnsi="宋体"/>
        </w:rPr>
      </w:pPr>
      <w:bookmarkStart w:id="0" w:name="附件标题"/>
      <w:bookmarkStart w:id="1" w:name="无附件标题"/>
      <w:r>
        <w:rPr>
          <w:rFonts w:hint="eastAsia" w:hAnsi="宋体"/>
        </w:rPr>
        <w:t>附件：</w:t>
      </w:r>
      <w:bookmarkStart w:id="2" w:name="_GoBack"/>
      <w:r>
        <w:rPr>
          <w:rFonts w:hint="eastAsia"/>
          <w:b w:val="0"/>
          <w:bCs/>
          <w:snapToGrid w:val="0"/>
          <w:kern w:val="0"/>
        </w:rPr>
        <w:t>信用卡价格标准</w:t>
      </w:r>
      <w:r>
        <w:rPr>
          <w:rFonts w:hAnsi="宋体"/>
          <w:b w:val="0"/>
          <w:bCs/>
        </w:rPr>
        <w:t xml:space="preserve"> </w:t>
      </w:r>
      <w:bookmarkEnd w:id="2"/>
      <w:bookmarkEnd w:id="0"/>
      <w:r>
        <w:rPr>
          <w:rFonts w:hAnsi="宋体"/>
        </w:rPr>
        <w:tab/>
      </w:r>
    </w:p>
    <w:p>
      <w:pPr>
        <w:adjustRightInd w:val="0"/>
        <w:snapToGrid w:val="0"/>
        <w:spacing w:line="560" w:lineRule="atLeast"/>
        <w:rPr>
          <w:rFonts w:hAnsi="宋体"/>
        </w:rPr>
      </w:pPr>
    </w:p>
    <w:bookmarkEnd w:id="1"/>
    <w:p>
      <w:pPr>
        <w:adjustRightInd w:val="0"/>
        <w:snapToGrid w:val="0"/>
        <w:spacing w:line="560" w:lineRule="atLeast"/>
        <w:rPr>
          <w:rFonts w:hAnsi="宋体"/>
        </w:rPr>
      </w:pPr>
    </w:p>
    <w:p/>
    <w:sectPr>
      <w:footerReference r:id="rId3" w:type="default"/>
      <w:footerReference r:id="rId4" w:type="even"/>
      <w:pgSz w:w="11906" w:h="16838"/>
      <w:pgMar w:top="1871" w:right="1531" w:bottom="1871" w:left="1531" w:header="0" w:footer="170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彩虹粗仿宋">
    <w:panose1 w:val="03000509000000000000"/>
    <w:charset w:val="86"/>
    <w:family w:val="script"/>
    <w:pitch w:val="default"/>
    <w:sig w:usb0="00000001" w:usb1="080E0000" w:usb2="00000000" w:usb3="00000000" w:csb0="00040000" w:csb1="00000000"/>
  </w:font>
  <w:font w:name="BIAODIAN">
    <w:altName w:val="C059"/>
    <w:panose1 w:val="00000000000000000000"/>
    <w:charset w:val="00"/>
    <w:family w:val="roman"/>
    <w:pitch w:val="default"/>
    <w:sig w:usb0="00000000" w:usb1="00000000" w:usb2="00000000" w:usb3="00000000" w:csb0="00000001" w:csb1="00000000"/>
  </w:font>
  <w:font w:name="C059">
    <w:panose1 w:val="00000500000000000000"/>
    <w:charset w:val="00"/>
    <w:family w:val="auto"/>
    <w:pitch w:val="default"/>
    <w:sig w:usb0="00000287" w:usb1="00000800" w:usb2="00000000" w:usb3="00000000" w:csb0="6000009F" w:csb1="00000000"/>
  </w:font>
  <w:font w:name="彩虹小标宋">
    <w:panose1 w:val="03000509000000000000"/>
    <w:charset w:val="86"/>
    <w:family w:val="script"/>
    <w:pitch w:val="default"/>
    <w:sig w:usb0="00000001" w:usb1="080E0000" w:usb2="00000000" w:usb3="00000000" w:csb0="00040000" w:csb1="00000000"/>
  </w:font>
  <w:font w:name="彩虹楷体">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 w:name="Webdings">
    <w:altName w:val="MathJax_Vector"/>
    <w:panose1 w:val="05030102010509060703"/>
    <w:charset w:val="02"/>
    <w:family w:val="roman"/>
    <w:pitch w:val="default"/>
    <w:sig w:usb0="00000000" w:usb1="00000000" w:usb2="00000000" w:usb3="00000000" w:csb0="80000000"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701" w:wrap="around" w:vAnchor="text" w:hAnchor="margin" w:xAlign="outside" w:y="1"/>
      <w:jc w:val="center"/>
      <w:rPr>
        <w:rStyle w:val="12"/>
        <w:rFonts w:ascii="宋体" w:hAnsi="宋体"/>
        <w:sz w:val="28"/>
      </w:rPr>
    </w:pPr>
    <w:r>
      <w:rPr>
        <w:rStyle w:val="12"/>
        <w:rFonts w:hint="eastAsia" w:ascii="宋体" w:hAnsi="宋体"/>
        <w:sz w:val="28"/>
      </w:rPr>
      <w:t xml:space="preserve">— </w:t>
    </w:r>
    <w:r>
      <w:rPr>
        <w:rStyle w:val="12"/>
        <w:rFonts w:ascii="宋体" w:hAnsi="宋体"/>
        <w:sz w:val="28"/>
      </w:rPr>
      <w:fldChar w:fldCharType="begin"/>
    </w:r>
    <w:r>
      <w:rPr>
        <w:rStyle w:val="12"/>
        <w:rFonts w:ascii="宋体" w:hAnsi="宋体"/>
        <w:sz w:val="28"/>
      </w:rPr>
      <w:instrText xml:space="preserve">PAGE  </w:instrText>
    </w:r>
    <w:r>
      <w:rPr>
        <w:rStyle w:val="12"/>
        <w:rFonts w:ascii="宋体" w:hAnsi="宋体"/>
        <w:sz w:val="28"/>
      </w:rPr>
      <w:fldChar w:fldCharType="separate"/>
    </w:r>
    <w:r>
      <w:rPr>
        <w:rStyle w:val="12"/>
        <w:rFonts w:ascii="宋体" w:hAnsi="宋体"/>
        <w:sz w:val="28"/>
      </w:rPr>
      <w:t>18</w:t>
    </w:r>
    <w:r>
      <w:rPr>
        <w:rStyle w:val="12"/>
        <w:rFonts w:ascii="宋体" w:hAnsi="宋体"/>
        <w:sz w:val="28"/>
      </w:rPr>
      <w:fldChar w:fldCharType="end"/>
    </w:r>
    <w:r>
      <w:rPr>
        <w:rStyle w:val="12"/>
        <w:rFonts w:hint="eastAsia" w:ascii="宋体" w:hAnsi="宋体"/>
        <w:sz w:val="28"/>
      </w:rPr>
      <w:t xml:space="preserve"> —</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BD8"/>
    <w:rsid w:val="002D0DD5"/>
    <w:rsid w:val="0033598E"/>
    <w:rsid w:val="004F6749"/>
    <w:rsid w:val="005D76A5"/>
    <w:rsid w:val="00690D3B"/>
    <w:rsid w:val="00810BD8"/>
    <w:rsid w:val="008F5527"/>
    <w:rsid w:val="00B56139"/>
    <w:rsid w:val="00BD029E"/>
    <w:rsid w:val="00CF7F76"/>
    <w:rsid w:val="01282681"/>
    <w:rsid w:val="01351709"/>
    <w:rsid w:val="01A83C46"/>
    <w:rsid w:val="020F48EF"/>
    <w:rsid w:val="022D3E9F"/>
    <w:rsid w:val="02736E4A"/>
    <w:rsid w:val="029D363E"/>
    <w:rsid w:val="04402605"/>
    <w:rsid w:val="046A6CCD"/>
    <w:rsid w:val="05410576"/>
    <w:rsid w:val="056A1F7A"/>
    <w:rsid w:val="06DA7D4B"/>
    <w:rsid w:val="07A35216"/>
    <w:rsid w:val="081B19DC"/>
    <w:rsid w:val="09184D77"/>
    <w:rsid w:val="09DB0338"/>
    <w:rsid w:val="09FE6DEC"/>
    <w:rsid w:val="0A631516"/>
    <w:rsid w:val="0AB37772"/>
    <w:rsid w:val="0ADC0DEC"/>
    <w:rsid w:val="0AF56886"/>
    <w:rsid w:val="0D40644B"/>
    <w:rsid w:val="0D444E52"/>
    <w:rsid w:val="0D986068"/>
    <w:rsid w:val="0DF35EEF"/>
    <w:rsid w:val="0E730A4B"/>
    <w:rsid w:val="0F013EAE"/>
    <w:rsid w:val="10406DFB"/>
    <w:rsid w:val="105D61AE"/>
    <w:rsid w:val="10711B2A"/>
    <w:rsid w:val="11331C96"/>
    <w:rsid w:val="115D3D0D"/>
    <w:rsid w:val="11AE7F56"/>
    <w:rsid w:val="127718FC"/>
    <w:rsid w:val="12CF28EA"/>
    <w:rsid w:val="13411924"/>
    <w:rsid w:val="1344612C"/>
    <w:rsid w:val="13697265"/>
    <w:rsid w:val="13995836"/>
    <w:rsid w:val="13A938D2"/>
    <w:rsid w:val="14195341"/>
    <w:rsid w:val="1430702E"/>
    <w:rsid w:val="14337FB3"/>
    <w:rsid w:val="148B0641"/>
    <w:rsid w:val="14DB4F49"/>
    <w:rsid w:val="150A0200"/>
    <w:rsid w:val="155B0D1A"/>
    <w:rsid w:val="15F8400C"/>
    <w:rsid w:val="162716E7"/>
    <w:rsid w:val="163409FD"/>
    <w:rsid w:val="181D631F"/>
    <w:rsid w:val="18A72EBF"/>
    <w:rsid w:val="18FB7F0C"/>
    <w:rsid w:val="192C06DB"/>
    <w:rsid w:val="193844ED"/>
    <w:rsid w:val="196056B2"/>
    <w:rsid w:val="19A603A4"/>
    <w:rsid w:val="19C67C9F"/>
    <w:rsid w:val="1A387913"/>
    <w:rsid w:val="1A3D3A58"/>
    <w:rsid w:val="1A682661"/>
    <w:rsid w:val="1AA3373F"/>
    <w:rsid w:val="1B245C99"/>
    <w:rsid w:val="1B5622E9"/>
    <w:rsid w:val="1BB44881"/>
    <w:rsid w:val="1C931CF1"/>
    <w:rsid w:val="1DB268C5"/>
    <w:rsid w:val="1E512F4B"/>
    <w:rsid w:val="1E815C99"/>
    <w:rsid w:val="1ED3189D"/>
    <w:rsid w:val="1F1C3919"/>
    <w:rsid w:val="1F5B3EB7"/>
    <w:rsid w:val="1F983263"/>
    <w:rsid w:val="20053897"/>
    <w:rsid w:val="2124626D"/>
    <w:rsid w:val="222477AB"/>
    <w:rsid w:val="22392531"/>
    <w:rsid w:val="22BF5610"/>
    <w:rsid w:val="22D43A35"/>
    <w:rsid w:val="22F411EA"/>
    <w:rsid w:val="235164A3"/>
    <w:rsid w:val="23C358BC"/>
    <w:rsid w:val="247C7268"/>
    <w:rsid w:val="24C11F5B"/>
    <w:rsid w:val="24D870B0"/>
    <w:rsid w:val="24F35FAE"/>
    <w:rsid w:val="25156162"/>
    <w:rsid w:val="266A2317"/>
    <w:rsid w:val="26CD6B38"/>
    <w:rsid w:val="27683133"/>
    <w:rsid w:val="2BC17555"/>
    <w:rsid w:val="2C6303E3"/>
    <w:rsid w:val="2D516FCF"/>
    <w:rsid w:val="2DF1306D"/>
    <w:rsid w:val="2F850F05"/>
    <w:rsid w:val="2FA362B7"/>
    <w:rsid w:val="2FB829D9"/>
    <w:rsid w:val="2FE70D9B"/>
    <w:rsid w:val="30873C85"/>
    <w:rsid w:val="30C51891"/>
    <w:rsid w:val="30EB624E"/>
    <w:rsid w:val="31E651EC"/>
    <w:rsid w:val="325E19B3"/>
    <w:rsid w:val="32D977F2"/>
    <w:rsid w:val="359D7886"/>
    <w:rsid w:val="36B934D6"/>
    <w:rsid w:val="37B449F3"/>
    <w:rsid w:val="37E167BB"/>
    <w:rsid w:val="37F151DE"/>
    <w:rsid w:val="38242728"/>
    <w:rsid w:val="38B30A88"/>
    <w:rsid w:val="398D7AFC"/>
    <w:rsid w:val="3A22476C"/>
    <w:rsid w:val="3A7D7404"/>
    <w:rsid w:val="3ABB6EE9"/>
    <w:rsid w:val="3AF13B40"/>
    <w:rsid w:val="3AFF8615"/>
    <w:rsid w:val="3B3A303A"/>
    <w:rsid w:val="3C165EA1"/>
    <w:rsid w:val="3C512802"/>
    <w:rsid w:val="3C8F1CC9"/>
    <w:rsid w:val="3D340877"/>
    <w:rsid w:val="3E7F249A"/>
    <w:rsid w:val="3EDB572F"/>
    <w:rsid w:val="3EEB2146"/>
    <w:rsid w:val="3FB06402"/>
    <w:rsid w:val="407709D4"/>
    <w:rsid w:val="40B75F3A"/>
    <w:rsid w:val="40F47F9D"/>
    <w:rsid w:val="41576278"/>
    <w:rsid w:val="41DD5D1C"/>
    <w:rsid w:val="421E7614"/>
    <w:rsid w:val="432B3440"/>
    <w:rsid w:val="438660D8"/>
    <w:rsid w:val="43962807"/>
    <w:rsid w:val="43970571"/>
    <w:rsid w:val="44464E91"/>
    <w:rsid w:val="447830E2"/>
    <w:rsid w:val="460B12FA"/>
    <w:rsid w:val="478046DF"/>
    <w:rsid w:val="47B34B2D"/>
    <w:rsid w:val="47C4182B"/>
    <w:rsid w:val="493E5939"/>
    <w:rsid w:val="49564395"/>
    <w:rsid w:val="4A105C92"/>
    <w:rsid w:val="4B3D53FF"/>
    <w:rsid w:val="4BAD3134"/>
    <w:rsid w:val="4C3001B6"/>
    <w:rsid w:val="4C7C2508"/>
    <w:rsid w:val="4D7402E1"/>
    <w:rsid w:val="4D906B4D"/>
    <w:rsid w:val="4DF46871"/>
    <w:rsid w:val="4E6C5236"/>
    <w:rsid w:val="4F350502"/>
    <w:rsid w:val="4F3C7E8D"/>
    <w:rsid w:val="50743D5E"/>
    <w:rsid w:val="529F678C"/>
    <w:rsid w:val="52A853C1"/>
    <w:rsid w:val="52BA32C7"/>
    <w:rsid w:val="53E450E9"/>
    <w:rsid w:val="53EB143A"/>
    <w:rsid w:val="54366037"/>
    <w:rsid w:val="54DE7749"/>
    <w:rsid w:val="54F613CB"/>
    <w:rsid w:val="558E78ED"/>
    <w:rsid w:val="559A36FF"/>
    <w:rsid w:val="559C531A"/>
    <w:rsid w:val="559E4304"/>
    <w:rsid w:val="572A7725"/>
    <w:rsid w:val="574E382A"/>
    <w:rsid w:val="576077E8"/>
    <w:rsid w:val="57692676"/>
    <w:rsid w:val="58B52CF7"/>
    <w:rsid w:val="59301FE2"/>
    <w:rsid w:val="59417CBE"/>
    <w:rsid w:val="596D3FC8"/>
    <w:rsid w:val="596F61C9"/>
    <w:rsid w:val="598474ED"/>
    <w:rsid w:val="5B2E6224"/>
    <w:rsid w:val="5C067265"/>
    <w:rsid w:val="5C297741"/>
    <w:rsid w:val="5D620742"/>
    <w:rsid w:val="5D652E4C"/>
    <w:rsid w:val="5E88440C"/>
    <w:rsid w:val="5ECD3218"/>
    <w:rsid w:val="5F1C2F97"/>
    <w:rsid w:val="5F2B407B"/>
    <w:rsid w:val="5F4F5013"/>
    <w:rsid w:val="5F5C1802"/>
    <w:rsid w:val="5FD30547"/>
    <w:rsid w:val="605D6E26"/>
    <w:rsid w:val="608E53F7"/>
    <w:rsid w:val="60EF4197"/>
    <w:rsid w:val="612C3FFB"/>
    <w:rsid w:val="61AE1820"/>
    <w:rsid w:val="61D04B09"/>
    <w:rsid w:val="61EC0BB6"/>
    <w:rsid w:val="62230D10"/>
    <w:rsid w:val="62804A96"/>
    <w:rsid w:val="628E0868"/>
    <w:rsid w:val="62B83A75"/>
    <w:rsid w:val="62BD6B53"/>
    <w:rsid w:val="62C60519"/>
    <w:rsid w:val="62D12451"/>
    <w:rsid w:val="63E022EB"/>
    <w:rsid w:val="648D7E85"/>
    <w:rsid w:val="64AB7435"/>
    <w:rsid w:val="650456E4"/>
    <w:rsid w:val="65201563"/>
    <w:rsid w:val="665916FA"/>
    <w:rsid w:val="66AC7E7F"/>
    <w:rsid w:val="671477C7"/>
    <w:rsid w:val="67364560"/>
    <w:rsid w:val="676C2928"/>
    <w:rsid w:val="67F3371E"/>
    <w:rsid w:val="67F87EA2"/>
    <w:rsid w:val="680848B9"/>
    <w:rsid w:val="68C04067"/>
    <w:rsid w:val="6922410C"/>
    <w:rsid w:val="69C0748D"/>
    <w:rsid w:val="6A53227F"/>
    <w:rsid w:val="6A984F72"/>
    <w:rsid w:val="6B452B0C"/>
    <w:rsid w:val="6B4E6220"/>
    <w:rsid w:val="6BB256BF"/>
    <w:rsid w:val="6BF10A27"/>
    <w:rsid w:val="6CE04AAC"/>
    <w:rsid w:val="6D640908"/>
    <w:rsid w:val="6D8049B5"/>
    <w:rsid w:val="6DDE0502"/>
    <w:rsid w:val="6E621725"/>
    <w:rsid w:val="6EFB7725"/>
    <w:rsid w:val="6F03527C"/>
    <w:rsid w:val="6F47651F"/>
    <w:rsid w:val="6F703E60"/>
    <w:rsid w:val="6F830903"/>
    <w:rsid w:val="704927E2"/>
    <w:rsid w:val="70781AB2"/>
    <w:rsid w:val="71030A88"/>
    <w:rsid w:val="71332094"/>
    <w:rsid w:val="713D78D4"/>
    <w:rsid w:val="714E33F1"/>
    <w:rsid w:val="71E05BC5"/>
    <w:rsid w:val="722A535E"/>
    <w:rsid w:val="731B26E8"/>
    <w:rsid w:val="733441DE"/>
    <w:rsid w:val="73731CF6"/>
    <w:rsid w:val="74A76214"/>
    <w:rsid w:val="74B150FE"/>
    <w:rsid w:val="75550D0E"/>
    <w:rsid w:val="75733B41"/>
    <w:rsid w:val="758B5965"/>
    <w:rsid w:val="75E14175"/>
    <w:rsid w:val="767F74F6"/>
    <w:rsid w:val="76DE2D93"/>
    <w:rsid w:val="76E3721B"/>
    <w:rsid w:val="76F16531"/>
    <w:rsid w:val="77086156"/>
    <w:rsid w:val="77843521"/>
    <w:rsid w:val="778751FE"/>
    <w:rsid w:val="77AB138C"/>
    <w:rsid w:val="78E8666B"/>
    <w:rsid w:val="7905019A"/>
    <w:rsid w:val="79F96B67"/>
    <w:rsid w:val="7A287028"/>
    <w:rsid w:val="7A7E1F85"/>
    <w:rsid w:val="7B135CFC"/>
    <w:rsid w:val="7B1D660B"/>
    <w:rsid w:val="7BB65505"/>
    <w:rsid w:val="7BBD0713"/>
    <w:rsid w:val="7C0242FF"/>
    <w:rsid w:val="7C4518F1"/>
    <w:rsid w:val="7CDE07EA"/>
    <w:rsid w:val="7DAF48CC"/>
    <w:rsid w:val="7DFC01A0"/>
    <w:rsid w:val="7E6D4779"/>
    <w:rsid w:val="7ED9BC58"/>
    <w:rsid w:val="7F521573"/>
    <w:rsid w:val="7F7B2BE0"/>
    <w:rsid w:val="7F9D6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彩虹粗仿宋" w:hAnsi="彩虹粗仿宋" w:eastAsia="彩虹粗仿宋" w:cs="彩虹粗仿宋"/>
      <w:kern w:val="2"/>
      <w:sz w:val="32"/>
      <w:szCs w:val="3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rPr>
      <w:rFonts w:ascii="Times New Roman" w:hAnsi="Times New Roman" w:eastAsia="宋体" w:cs="Times New Roman"/>
      <w:sz w:val="21"/>
      <w:szCs w:val="24"/>
      <w:lang w:val="zh-CN"/>
    </w:rPr>
  </w:style>
  <w:style w:type="paragraph" w:styleId="3">
    <w:name w:val="Body Text Indent"/>
    <w:basedOn w:val="1"/>
    <w:link w:val="17"/>
    <w:unhideWhenUsed/>
    <w:qFormat/>
    <w:uiPriority w:val="0"/>
    <w:pPr>
      <w:adjustRightInd w:val="0"/>
      <w:snapToGrid w:val="0"/>
      <w:spacing w:line="560" w:lineRule="atLeast"/>
      <w:ind w:firstLine="624"/>
    </w:pPr>
    <w:rPr>
      <w:rFonts w:hAnsiTheme="minorHAnsi" w:cstheme="minorBidi"/>
      <w:szCs w:val="22"/>
    </w:rPr>
  </w:style>
  <w:style w:type="paragraph" w:styleId="4">
    <w:name w:val="Balloon Text"/>
    <w:basedOn w:val="1"/>
    <w:link w:val="21"/>
    <w:semiHidden/>
    <w:unhideWhenUsed/>
    <w:qFormat/>
    <w:uiPriority w:val="99"/>
    <w:rPr>
      <w:sz w:val="18"/>
      <w:szCs w:val="18"/>
    </w:rPr>
  </w:style>
  <w:style w:type="paragraph" w:styleId="5">
    <w:name w:val="footer"/>
    <w:basedOn w:val="1"/>
    <w:link w:val="15"/>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oc 1"/>
    <w:basedOn w:val="1"/>
    <w:next w:val="1"/>
    <w:qFormat/>
    <w:uiPriority w:val="39"/>
    <w:pPr>
      <w:tabs>
        <w:tab w:val="left" w:pos="840"/>
        <w:tab w:val="right" w:leader="dot" w:pos="8834"/>
      </w:tabs>
      <w:overflowPunct w:val="0"/>
      <w:adjustRightInd w:val="0"/>
      <w:snapToGrid w:val="0"/>
      <w:spacing w:line="560" w:lineRule="atLeast"/>
      <w:jc w:val="left"/>
      <w:textAlignment w:val="bottom"/>
    </w:pPr>
    <w:rPr>
      <w:rFonts w:hAnsi="BIAODIAN"/>
      <w:color w:val="000000"/>
      <w:kern w:val="0"/>
      <w:szCs w:val="20"/>
    </w:rPr>
  </w:style>
  <w:style w:type="paragraph" w:styleId="8">
    <w:name w:val="Normal (Web)"/>
    <w:basedOn w:val="1"/>
    <w:semiHidden/>
    <w:unhideWhenUsed/>
    <w:qFormat/>
    <w:uiPriority w:val="0"/>
    <w:pPr>
      <w:widowControl/>
      <w:spacing w:before="100" w:beforeAutospacing="1" w:after="100" w:afterAutospacing="1"/>
      <w:jc w:val="left"/>
    </w:pPr>
    <w:rPr>
      <w:rFonts w:ascii="宋体" w:hAnsi="宋体" w:eastAsia="宋体" w:cs="Times New Roman"/>
      <w:kern w:val="0"/>
      <w:sz w:val="24"/>
      <w:szCs w:val="20"/>
    </w:rPr>
  </w:style>
  <w:style w:type="character" w:styleId="11">
    <w:name w:val="Strong"/>
    <w:qFormat/>
    <w:uiPriority w:val="0"/>
    <w:rPr>
      <w:b/>
      <w:bCs/>
    </w:rPr>
  </w:style>
  <w:style w:type="character" w:styleId="12">
    <w:name w:val="page number"/>
    <w:basedOn w:val="10"/>
    <w:semiHidden/>
    <w:qFormat/>
    <w:uiPriority w:val="0"/>
  </w:style>
  <w:style w:type="character" w:styleId="13">
    <w:name w:val="annotation reference"/>
    <w:semiHidden/>
    <w:unhideWhenUsed/>
    <w:qFormat/>
    <w:uiPriority w:val="99"/>
    <w:rPr>
      <w:sz w:val="21"/>
      <w:szCs w:val="21"/>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character" w:customStyle="1" w:styleId="16">
    <w:name w:val="页脚 字符"/>
    <w:qFormat/>
    <w:uiPriority w:val="99"/>
    <w:rPr>
      <w:sz w:val="18"/>
      <w:szCs w:val="18"/>
    </w:rPr>
  </w:style>
  <w:style w:type="character" w:customStyle="1" w:styleId="17">
    <w:name w:val="正文文本缩进 Char"/>
    <w:link w:val="3"/>
    <w:qFormat/>
    <w:locked/>
    <w:uiPriority w:val="0"/>
    <w:rPr>
      <w:rFonts w:ascii="彩虹粗仿宋" w:eastAsia="彩虹粗仿宋"/>
      <w:sz w:val="32"/>
    </w:rPr>
  </w:style>
  <w:style w:type="character" w:customStyle="1" w:styleId="18">
    <w:name w:val="正文文本缩进 Char1"/>
    <w:basedOn w:val="10"/>
    <w:semiHidden/>
    <w:qFormat/>
    <w:uiPriority w:val="99"/>
    <w:rPr>
      <w:rFonts w:ascii="彩虹粗仿宋" w:hAnsi="彩虹粗仿宋" w:eastAsia="彩虹粗仿宋" w:cs="彩虹粗仿宋"/>
      <w:sz w:val="32"/>
      <w:szCs w:val="32"/>
    </w:rPr>
  </w:style>
  <w:style w:type="character" w:customStyle="1" w:styleId="19">
    <w:name w:val="批注文字 Char"/>
    <w:basedOn w:val="10"/>
    <w:link w:val="2"/>
    <w:semiHidden/>
    <w:qFormat/>
    <w:uiPriority w:val="99"/>
    <w:rPr>
      <w:rFonts w:ascii="Times New Roman" w:hAnsi="Times New Roman" w:eastAsia="宋体" w:cs="Times New Roman"/>
      <w:szCs w:val="24"/>
      <w:lang w:val="zh-CN" w:eastAsia="zh-CN"/>
    </w:rPr>
  </w:style>
  <w:style w:type="character" w:customStyle="1" w:styleId="20">
    <w:name w:val="批注框文本 Char"/>
    <w:basedOn w:val="10"/>
    <w:semiHidden/>
    <w:qFormat/>
    <w:uiPriority w:val="99"/>
    <w:rPr>
      <w:rFonts w:ascii="彩虹粗仿宋" w:hAnsi="彩虹粗仿宋" w:eastAsia="彩虹粗仿宋" w:cs="彩虹粗仿宋"/>
      <w:sz w:val="18"/>
      <w:szCs w:val="18"/>
    </w:rPr>
  </w:style>
  <w:style w:type="character" w:customStyle="1" w:styleId="21">
    <w:name w:val="批注框文本 Char1"/>
    <w:link w:val="4"/>
    <w:semiHidden/>
    <w:qFormat/>
    <w:uiPriority w:val="99"/>
    <w:rPr>
      <w:rFonts w:ascii="彩虹粗仿宋" w:hAnsi="彩虹粗仿宋" w:eastAsia="彩虹粗仿宋" w:cs="彩虹粗仿宋"/>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1319</Words>
  <Characters>7519</Characters>
  <Lines>62</Lines>
  <Paragraphs>17</Paragraphs>
  <TotalTime>1</TotalTime>
  <ScaleCrop>false</ScaleCrop>
  <LinksUpToDate>false</LinksUpToDate>
  <CharactersWithSpaces>8821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2023-09-04T21:41:00Z</dcterms:created>
  <dc:creator>张翼</dc:creator>
  <cp:lastModifiedBy>ccb</cp:lastModifiedBy>
  <dcterms:modified xsi:type="dcterms:W3CDTF">2024-07-19T08:42:45Z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E9214BD7319FA0AD37B4996649FC41D3_43</vt:lpwstr>
  </property>
</Properties>
</file>