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彩虹黑体" w:eastAsia="彩虹黑体" w:hAnsi="微软雅黑"/>
          <w:color w:val="000000"/>
          <w:sz w:val="28"/>
          <w:szCs w:val="28"/>
        </w:rPr>
      </w:pPr>
      <w:r>
        <w:rPr>
          <w:rFonts w:ascii="彩虹黑体" w:eastAsia="彩虹黑体" w:hAnsi="微软雅黑" w:hint="eastAsia"/>
          <w:color w:val="000000"/>
          <w:sz w:val="36"/>
          <w:szCs w:val="28"/>
        </w:rPr>
        <w:t>中</w:t>
      </w:r>
      <w:r>
        <w:rPr>
          <w:rFonts w:ascii="彩虹黑体" w:eastAsia="彩虹黑体" w:hAnsi="微软雅黑"/>
          <w:color w:val="000000"/>
          <w:sz w:val="36"/>
          <w:szCs w:val="28"/>
        </w:rPr>
        <w:t>国建设银行龙卡信用卡商户分期</w:t>
      </w:r>
      <w:r>
        <w:rPr>
          <w:rFonts w:ascii="彩虹黑体" w:eastAsia="彩虹黑体" w:hAnsi="微软雅黑" w:hint="eastAsia"/>
          <w:color w:val="000000"/>
          <w:sz w:val="36"/>
          <w:szCs w:val="28"/>
        </w:rPr>
        <w:t>业务</w:t>
      </w:r>
      <w:r>
        <w:rPr>
          <w:rFonts w:ascii="彩虹黑体" w:eastAsia="彩虹黑体" w:hAnsi="微软雅黑"/>
          <w:color w:val="000000"/>
          <w:sz w:val="36"/>
          <w:szCs w:val="28"/>
        </w:rPr>
        <w:t>协议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彩虹黑体" w:eastAsia="彩虹黑体" w:hAnsi="微软雅黑"/>
          <w:color w:val="000000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彩虹黑体" w:eastAsia="彩虹黑体" w:hAnsi="微软雅黑"/>
          <w:color w:val="000000"/>
          <w:sz w:val="28"/>
          <w:szCs w:val="2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中</w:t>
      </w:r>
      <w:r>
        <w:rPr>
          <w:rFonts w:ascii="彩虹粗仿宋" w:eastAsia="彩虹粗仿宋" w:hAnsi="微软雅黑"/>
          <w:color w:val="000000"/>
          <w:sz w:val="28"/>
          <w:szCs w:val="28"/>
        </w:rPr>
        <w:t>国建设银行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龙卡信用卡持卡人（以下简称“甲方”）与中国建设银行股份有限公司</w:t>
      </w:r>
      <w:r>
        <w:rPr>
          <w:rFonts w:ascii="彩虹粗仿宋" w:eastAsia="彩虹粗仿宋" w:hAnsi="微软雅黑"/>
          <w:color w:val="000000"/>
          <w:sz w:val="28"/>
          <w:szCs w:val="28"/>
        </w:rPr>
        <w:t>___分行（以下简称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“乙方”</w:t>
      </w:r>
      <w:r>
        <w:rPr>
          <w:rFonts w:ascii="彩虹粗仿宋" w:eastAsia="彩虹粗仿宋" w:hAnsi="微软雅黑"/>
          <w:color w:val="000000"/>
          <w:sz w:val="28"/>
          <w:szCs w:val="28"/>
        </w:rPr>
        <w:t>），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双方知悉并同意共同遵守法律法规、监管要求和《中国建设银行龙卡信用卡章程》（以</w:t>
      </w:r>
      <w:r>
        <w:rPr>
          <w:rFonts w:ascii="彩虹粗仿宋" w:eastAsia="彩虹粗仿宋" w:hAnsi="微软雅黑"/>
          <w:color w:val="000000"/>
          <w:sz w:val="28"/>
          <w:szCs w:val="28"/>
        </w:rPr>
        <w:t>下简称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《章</w:t>
      </w:r>
      <w:r>
        <w:rPr>
          <w:rFonts w:ascii="彩虹粗仿宋" w:eastAsia="彩虹粗仿宋" w:hAnsi="微软雅黑"/>
          <w:color w:val="000000"/>
          <w:sz w:val="28"/>
          <w:szCs w:val="28"/>
        </w:rPr>
        <w:t>程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》</w:t>
      </w:r>
      <w:r>
        <w:rPr>
          <w:rFonts w:ascii="彩虹粗仿宋" w:eastAsia="彩虹粗仿宋" w:hAnsi="微软雅黑"/>
          <w:color w:val="000000"/>
          <w:sz w:val="28"/>
          <w:szCs w:val="28"/>
        </w:rPr>
        <w:t>）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、《中国建设银行龙卡信用卡领用协议》（以</w:t>
      </w:r>
      <w:r>
        <w:rPr>
          <w:rFonts w:ascii="彩虹粗仿宋" w:eastAsia="彩虹粗仿宋" w:hAnsi="微软雅黑"/>
          <w:color w:val="000000"/>
          <w:sz w:val="28"/>
          <w:szCs w:val="28"/>
        </w:rPr>
        <w:t>下简称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《领</w:t>
      </w:r>
      <w:r>
        <w:rPr>
          <w:rFonts w:ascii="彩虹粗仿宋" w:eastAsia="彩虹粗仿宋" w:hAnsi="微软雅黑"/>
          <w:color w:val="000000"/>
          <w:sz w:val="28"/>
          <w:szCs w:val="28"/>
        </w:rPr>
        <w:t>用协议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》</w:t>
      </w:r>
      <w:r>
        <w:rPr>
          <w:rFonts w:ascii="彩虹粗仿宋" w:eastAsia="彩虹粗仿宋" w:hAnsi="微软雅黑"/>
          <w:color w:val="000000"/>
          <w:sz w:val="28"/>
          <w:szCs w:val="28"/>
        </w:rPr>
        <w:t>）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，就</w:t>
      </w:r>
      <w:r>
        <w:rPr>
          <w:rFonts w:ascii="彩虹粗仿宋" w:eastAsia="彩虹粗仿宋" w:hAnsi="微软雅黑" w:hint="eastAsia"/>
          <w:sz w:val="28"/>
          <w:szCs w:val="28"/>
        </w:rPr>
        <w:t>龙</w:t>
      </w:r>
      <w:r>
        <w:rPr>
          <w:rFonts w:ascii="彩虹粗仿宋" w:eastAsia="彩虹粗仿宋" w:hAnsi="微软雅黑"/>
          <w:sz w:val="28"/>
          <w:szCs w:val="28"/>
        </w:rPr>
        <w:t>卡信用</w:t>
      </w:r>
      <w:r>
        <w:rPr>
          <w:rFonts w:ascii="彩虹粗仿宋" w:eastAsia="彩虹粗仿宋" w:hAnsi="微软雅黑" w:hint="eastAsia"/>
          <w:sz w:val="28"/>
          <w:szCs w:val="28"/>
        </w:rPr>
        <w:t>卡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商户分期业务达成协议如下：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黑体" w:eastAsia="彩虹黑体" w:hAnsi="微软雅黑" w:hint="eastAsia"/>
          <w:color w:val="000000"/>
          <w:sz w:val="28"/>
          <w:szCs w:val="28"/>
        </w:rPr>
        <w:t>一、业务定义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1.龙卡信用卡商户分期业务（以下简称“商户分期”）是指甲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用其龙卡信用卡在使用固定额度购买商品或服务时，在乙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提供的分期付款期数范围内，按照与乙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约定的分期还款计划，向乙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归还应还款项的</w:t>
      </w:r>
      <w:r>
        <w:rPr>
          <w:rFonts w:ascii="彩虹粗仿宋" w:eastAsia="彩虹粗仿宋" w:hAnsi="微软雅黑"/>
          <w:color w:val="000000"/>
          <w:sz w:val="28"/>
          <w:szCs w:val="28"/>
        </w:rPr>
        <w:t>业务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2.“龙卡随付贷”是乙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龙卡信用卡商户分期业务的品牌名称。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黑体" w:eastAsia="彩虹黑体" w:hAnsi="微软雅黑" w:hint="eastAsia"/>
          <w:color w:val="000000"/>
          <w:sz w:val="28"/>
          <w:szCs w:val="28"/>
        </w:rPr>
        <w:t>二、基本规定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彩虹粗仿宋" w:eastAsia="彩虹粗仿宋" w:hAnsi="微软雅黑"/>
          <w:color w:val="000000"/>
          <w:sz w:val="28"/>
          <w:szCs w:val="28"/>
        </w:rPr>
      </w:pPr>
      <w:r>
        <w:rPr>
          <w:rFonts w:ascii="彩虹粗仿宋" w:eastAsia="彩虹粗仿宋" w:hAnsi="微软雅黑" w:hint="eastAsia"/>
          <w:sz w:val="28"/>
          <w:szCs w:val="28"/>
        </w:rPr>
        <w:t>1.甲</w:t>
      </w:r>
      <w:r>
        <w:rPr>
          <w:rFonts w:ascii="彩虹粗仿宋" w:eastAsia="彩虹粗仿宋" w:hAnsi="微软雅黑"/>
          <w:sz w:val="28"/>
          <w:szCs w:val="28"/>
        </w:rPr>
        <w:t>方</w:t>
      </w:r>
      <w:r>
        <w:rPr>
          <w:rFonts w:ascii="彩虹粗仿宋" w:eastAsia="彩虹粗仿宋" w:hAnsi="微软雅黑" w:hint="eastAsia"/>
          <w:sz w:val="28"/>
          <w:szCs w:val="28"/>
        </w:rPr>
        <w:t>仅可在支持乙</w:t>
      </w:r>
      <w:r>
        <w:rPr>
          <w:rFonts w:ascii="彩虹粗仿宋" w:eastAsia="彩虹粗仿宋" w:hAnsi="微软雅黑"/>
          <w:sz w:val="28"/>
          <w:szCs w:val="28"/>
        </w:rPr>
        <w:t>方</w:t>
      </w:r>
      <w:r>
        <w:rPr>
          <w:rFonts w:ascii="彩虹粗仿宋" w:eastAsia="彩虹粗仿宋" w:hAnsi="微软雅黑" w:hint="eastAsia"/>
          <w:sz w:val="28"/>
          <w:szCs w:val="28"/>
        </w:rPr>
        <w:t>龙卡信用卡分期付款支付方式的商户办理商户分期。</w:t>
      </w:r>
      <w:r>
        <w:rPr>
          <w:rFonts w:ascii="彩虹粗仿宋" w:eastAsia="彩虹粗仿宋" w:hAnsi="微软雅黑" w:hint="eastAsia"/>
          <w:b/>
          <w:sz w:val="28"/>
          <w:szCs w:val="28"/>
        </w:rPr>
        <w:t>分期利息</w:t>
      </w:r>
      <w:r>
        <w:rPr>
          <w:rFonts w:ascii="彩虹粗仿宋" w:eastAsia="彩虹粗仿宋" w:hAnsi="微软雅黑"/>
          <w:b/>
          <w:sz w:val="28"/>
          <w:szCs w:val="28"/>
        </w:rPr>
        <w:t>计息方式为分期收取</w:t>
      </w:r>
      <w:r>
        <w:rPr>
          <w:rFonts w:ascii="彩虹粗仿宋" w:eastAsia="彩虹粗仿宋" w:hAnsi="微软雅黑" w:hint="eastAsia"/>
          <w:b/>
          <w:sz w:val="28"/>
          <w:szCs w:val="28"/>
        </w:rPr>
        <w:t>，近似</w:t>
      </w:r>
      <w:proofErr w:type="gramStart"/>
      <w:r>
        <w:rPr>
          <w:rFonts w:ascii="彩虹粗仿宋" w:eastAsia="彩虹粗仿宋" w:hAnsi="微软雅黑" w:hint="eastAsia"/>
          <w:b/>
          <w:sz w:val="28"/>
          <w:szCs w:val="28"/>
        </w:rPr>
        <w:t>折算年化利率</w:t>
      </w:r>
      <w:proofErr w:type="gramEnd"/>
      <w:r>
        <w:rPr>
          <w:rFonts w:ascii="彩虹粗仿宋" w:eastAsia="彩虹粗仿宋" w:hAnsi="微软雅黑" w:hint="eastAsia"/>
          <w:b/>
          <w:sz w:val="28"/>
          <w:szCs w:val="28"/>
        </w:rPr>
        <w:t>（单利）最</w:t>
      </w:r>
      <w:r>
        <w:rPr>
          <w:rFonts w:ascii="彩虹粗仿宋" w:eastAsia="彩虹粗仿宋" w:hAnsi="微软雅黑"/>
          <w:b/>
          <w:sz w:val="28"/>
          <w:szCs w:val="28"/>
        </w:rPr>
        <w:t>高</w:t>
      </w:r>
      <w:r>
        <w:rPr>
          <w:rFonts w:ascii="彩虹粗仿宋" w:eastAsia="彩虹粗仿宋" w:hAnsi="微软雅黑" w:hint="eastAsia"/>
          <w:b/>
          <w:sz w:val="28"/>
          <w:szCs w:val="28"/>
        </w:rPr>
        <w:t>不</w:t>
      </w:r>
      <w:r>
        <w:rPr>
          <w:rFonts w:ascii="彩虹粗仿宋" w:eastAsia="彩虹粗仿宋" w:hAnsi="微软雅黑"/>
          <w:b/>
          <w:sz w:val="28"/>
          <w:szCs w:val="28"/>
        </w:rPr>
        <w:t>超过18.25%</w:t>
      </w:r>
      <w:r>
        <w:rPr>
          <w:rFonts w:ascii="彩虹粗仿宋" w:eastAsia="彩虹粗仿宋" w:hAnsi="微软雅黑" w:hint="eastAsia"/>
          <w:sz w:val="28"/>
          <w:szCs w:val="28"/>
        </w:rPr>
        <w:t>。</w:t>
      </w:r>
      <w:r>
        <w:rPr>
          <w:rFonts w:ascii="彩虹粗仿宋" w:eastAsia="彩虹粗仿宋" w:hAnsi="微软雅黑" w:hint="eastAsia"/>
          <w:b/>
          <w:sz w:val="28"/>
          <w:szCs w:val="28"/>
        </w:rPr>
        <w:t>甲</w:t>
      </w:r>
      <w:r>
        <w:rPr>
          <w:rFonts w:ascii="彩虹粗仿宋" w:eastAsia="彩虹粗仿宋" w:hAnsi="微软雅黑"/>
          <w:b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sz w:val="28"/>
          <w:szCs w:val="28"/>
        </w:rPr>
        <w:t>未按期足额还款产生的利息、还款违约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金及相应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计算规则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按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照《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领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用协议》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执行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。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每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期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分期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利息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=分期本金总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额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*每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期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分期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利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率；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近似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折算年化利率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（单利）是根据甲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现金流计算出内含报酬率后年化而得。内含报酬率IRR是指使未来现金流入量现值等于未来现金流出量现值的折现率。计算公式如下：分期本金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lastRenderedPageBreak/>
        <w:t>=</w:t>
      </w:r>
      <w:r>
        <w:rPr>
          <w:rFonts w:ascii="彩虹粗仿宋" w:eastAsia="彩虹粗仿宋" w:hAnsi="微软雅黑"/>
          <w:noProof/>
          <w:color w:val="000000"/>
          <w:sz w:val="28"/>
          <w:szCs w:val="28"/>
        </w:rPr>
        <w:drawing>
          <wp:inline distT="0" distB="0" distL="0" distR="0">
            <wp:extent cx="1645920" cy="533400"/>
            <wp:effectExtent l="0" t="0" r="0" b="0"/>
            <wp:docPr id="3" name="图片 3" descr="http://creditcard3.ccb.com/cn/creditcard/upload/editor/20210528093524838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editcard3.ccb.com/cn/creditcard/upload/editor/202105280935248382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（n为总期数），计算得出月度内含报酬率IRR，由此近似折算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年化利率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(单利) =12*IRR。近似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折算年化利率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（单利）供甲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评估资金成本时参考，不改变甲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实际支付的分期利息金额，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因交易金额、交易时间、还款时间、提前还款等不同可能</w:t>
      </w:r>
      <w:proofErr w:type="gramStart"/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致实际</w:t>
      </w:r>
      <w:proofErr w:type="gramEnd"/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值与上述近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似折算</w:t>
      </w:r>
      <w:proofErr w:type="gramStart"/>
      <w:r>
        <w:rPr>
          <w:rFonts w:ascii="彩虹粗仿宋" w:eastAsia="彩虹粗仿宋" w:hAnsi="微软雅黑"/>
          <w:b/>
          <w:color w:val="000000"/>
          <w:sz w:val="28"/>
          <w:szCs w:val="28"/>
        </w:rPr>
        <w:t>年化利率</w:t>
      </w:r>
      <w:proofErr w:type="gramEnd"/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参考值存在差异，具体数值以业务实际生效前的展示为准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。关于近似折算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年化利率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的含义及示例可通过“中国建设银行官网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（www.ccb.c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n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）-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信用卡频道-服务指南-常见问题”或通过“龙卡信用卡”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微信公众号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输入关键词“分期年化利率”查询了解。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2.</w:t>
      </w:r>
      <w:proofErr w:type="gramStart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因溢缴款</w:t>
      </w:r>
      <w:proofErr w:type="gramEnd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提高的额度部分及临时额度部分不能办理商户分期业务。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3.商户分期仅限卡片状态正常的中国建设银行龙卡信用卡持卡人申请。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4.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商务卡、</w:t>
      </w:r>
      <w:proofErr w:type="gramStart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外币单标卡</w:t>
      </w:r>
      <w:proofErr w:type="gramEnd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、专项分期卡不能办理商户分期业务。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5.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商户分期本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金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总额将全额占用甲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的信用额度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，当甲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每期按时还款后，可用额度逐期释放。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6.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实际支付的分期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本金及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分期利息金额以账单列示为准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。每期分期本金、</w:t>
      </w:r>
      <w:r>
        <w:rPr>
          <w:rFonts w:ascii="彩虹粗仿宋" w:eastAsia="彩虹粗仿宋" w:hAnsi="微软雅黑"/>
          <w:color w:val="000000"/>
          <w:sz w:val="28"/>
          <w:szCs w:val="28"/>
        </w:rPr>
        <w:t>每期分期利息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金额的</w:t>
      </w:r>
      <w:r>
        <w:rPr>
          <w:rFonts w:ascii="彩虹粗仿宋" w:eastAsia="彩虹粗仿宋" w:hAnsi="微软雅黑"/>
          <w:color w:val="000000"/>
          <w:sz w:val="28"/>
          <w:szCs w:val="28"/>
        </w:rPr>
        <w:t>计算精确到分位，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自完成交易后的首个账单日起，根据分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期期数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按月入账，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并全额计入最低还款额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。每期分期本金=分期本金总额/期数，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对于分期本金总额不能被期数整除的，每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期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分期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本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金采用四舍五入的方式进行金额拆分，差额在最后一期进行调整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7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其他未尽事宜依据《章程》及《领用协议》执行。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《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章程》和《领用协议》可通过“中国建设银行官方网站（www.ccb.c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n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）—信用卡频道—服务指南”栏位查阅。本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协议可通过网点查询。</w:t>
      </w:r>
      <w:bookmarkStart w:id="0" w:name="_GoBack"/>
      <w:bookmarkEnd w:id="0"/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黑体" w:eastAsia="彩虹黑体" w:hAnsi="微软雅黑" w:hint="eastAsia"/>
          <w:color w:val="000000"/>
          <w:sz w:val="28"/>
          <w:szCs w:val="28"/>
        </w:rPr>
        <w:t>三、甲</w:t>
      </w:r>
      <w:r>
        <w:rPr>
          <w:rFonts w:ascii="彩虹黑体" w:eastAsia="彩虹黑体" w:hAnsi="微软雅黑"/>
          <w:color w:val="000000"/>
          <w:sz w:val="28"/>
          <w:szCs w:val="28"/>
        </w:rPr>
        <w:t>方</w:t>
      </w:r>
      <w:r>
        <w:rPr>
          <w:rFonts w:ascii="彩虹黑体" w:eastAsia="彩虹黑体" w:hAnsi="微软雅黑" w:hint="eastAsia"/>
          <w:color w:val="000000"/>
          <w:sz w:val="28"/>
          <w:szCs w:val="28"/>
        </w:rPr>
        <w:t>的权利与义务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1.甲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凭乙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向其核发的在有效期内的龙卡信用卡在商户进行分期消费时，须按预先与乙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的约定输入密码或动态验证码，或通过指纹等生物识别方式完成交易。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2.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不得通过虚假交易等欺诈活动套取现金、优惠等，否则乙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有权采取相关管控措施和追回甲方已享受的优惠。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3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甲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承诺按龙卡信用卡对账单所显示金额按期归还欠款。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在到期还款日前全额偿还对账单列示的当期应还款额时，当期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分期应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还本金可享受免息还款期待遇；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甲方在到期还款日前未按对账单列示的当期应还款额全额还款的，当期对账单全部交易款项（包括</w:t>
      </w:r>
      <w:proofErr w:type="gramStart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分期应</w:t>
      </w:r>
      <w:proofErr w:type="gramEnd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还本金），将依照《领用协议》计收利息；如未按对账单列示归还最低还款额，另计收还款违约金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彩虹粗仿宋" w:eastAsia="彩虹粗仿宋" w:hAnsi="微软雅黑"/>
          <w:color w:val="000000"/>
          <w:sz w:val="28"/>
          <w:szCs w:val="2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4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甲方的分期付款债务应于发生下述事项之时视为全部到期，甲方应当一次性偿还全部剩余欠款，包括但不限于分期本金、分期利息、其他利息、还款违约金等全部应还款项：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的龙卡信用卡被停卡，或甲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主动申请销户或要求停卡，或甲方不履行债务，或甲方不履行与分期付款相关的协议，或甲方出现债务履行能力或信用程度降低的情形，包括但不限于甲方使用信用卡违反法律法规、规章、《章程》、《领用协议》或有关业务规定；甲方提供的申请资料不真实、不准确、不完整；甲方拒绝承担使用信用卡交易产生的风险与责任；甲方拒绝向乙方支付各类费用；自甲方账户发生欠款后第一个账单日开始计算，连续三个月未还款或还款未达最低还款额；甲方利用信用卡进行虚假交易；甲方拒绝或阻碍乙方对其收入或信用情况进行调查；甲方死亡而其财产合法继承人不继续履行本协议；甲方被宣告失踪，而其财产代管人不继续履行本协议；甲方丧失民事行为能力，而其监护人不继续履行本协议；甲方卷入或即将卷入重大诉讼、仲裁程序或其他法律纠纷，乙方认为可能或已经影响或损害乙方在本协议项下的权益；甲方的资信情况或还款能力出现其他重大变化，包括但不限于工作调整、收入降低、失业、拖欠其他债务等，足以影响还款能力，已经不再符合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办理信用卡条件且未追加乙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认可的担保；乙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有其他正当理由或出于风险管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控原因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认定的其他情形。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5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.有关商品的买卖、价格、质量、配送及售后服务等事宜由商户提供，若甲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与商户之间就上述事宜发生争议，甲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与商户协商处理。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在争议处理过程中，甲方仍应继续按本协议约定偿还所欠分期付款债务。前述争议不影响乙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对甲方所欠分期付款债务进行追偿的权利，甲方不能以与商户存在纠纷为由拒绝偿还银行信用卡欠款。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6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成功办理商户分期后，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如申请提前还款（可通过拨打95533客服热线申请办理），须一次性支付剩余本金，并按已入账期数承担相应分期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利息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，即乙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不再收取甲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剩余未入账期数对应的分期利息。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Style w:val="a4"/>
          <w:rFonts w:ascii="彩虹粗仿宋" w:eastAsia="彩虹粗仿宋" w:hAnsi="微软雅黑" w:cstheme="minorBidi"/>
          <w:color w:val="000000"/>
          <w:kern w:val="2"/>
          <w:sz w:val="28"/>
          <w:szCs w:val="2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7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信用卡资金应当用于甲方个人消费领域，不得用于购房、投资、生产经营等非消费领域。如甲方违规使用信用卡资金，乙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有权采取相应管控措施。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黑体" w:eastAsia="彩虹黑体" w:hAnsi="微软雅黑" w:hint="eastAsia"/>
          <w:color w:val="000000"/>
          <w:sz w:val="28"/>
          <w:szCs w:val="28"/>
        </w:rPr>
        <w:t>四、乙</w:t>
      </w:r>
      <w:r>
        <w:rPr>
          <w:rFonts w:ascii="彩虹黑体" w:eastAsia="彩虹黑体" w:hAnsi="微软雅黑"/>
          <w:color w:val="000000"/>
          <w:sz w:val="28"/>
          <w:szCs w:val="28"/>
        </w:rPr>
        <w:t>方的</w:t>
      </w:r>
      <w:r>
        <w:rPr>
          <w:rFonts w:ascii="彩虹黑体" w:eastAsia="彩虹黑体" w:hAnsi="微软雅黑" w:hint="eastAsia"/>
          <w:color w:val="000000"/>
          <w:sz w:val="28"/>
          <w:szCs w:val="28"/>
        </w:rPr>
        <w:t>权利与义务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 w:hint="eastAsia"/>
          <w:color w:val="000000"/>
          <w:sz w:val="28"/>
          <w:szCs w:val="28"/>
        </w:rPr>
        <w:t>1.乙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有权对甲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办理商户分期业务的申请进行独立审核，决定是否通过甲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的分期申请及分期金额。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2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在分期付款交易成功后，乙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将在其信用卡对账单中列示相应的商品价款总额（非当期还款额），同时将该款项一次性支付给商户。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3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甲方所购商品由商户提供，商户承担所有与商品及商品销售有关的责任；</w:t>
      </w:r>
      <w:proofErr w:type="gramStart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仅</w:t>
      </w:r>
      <w:proofErr w:type="gramEnd"/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提供分期付款</w:t>
      </w:r>
      <w:r>
        <w:rPr>
          <w:rStyle w:val="a4"/>
          <w:rFonts w:ascii="彩虹粗仿宋" w:eastAsia="彩虹粗仿宋" w:hAnsi="微软雅黑" w:hint="eastAsia"/>
          <w:color w:val="3F3F3F"/>
          <w:sz w:val="28"/>
          <w:szCs w:val="28"/>
        </w:rPr>
        <w:t>服务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，与商户之间无代理、经销、担保等关系。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4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乙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通过网点、网站等渠道以公告的方式向甲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明示服务项目或服务内容、服务价格、优惠措施及其生效和终止日期、与价格相关的例外条款和限制性条款、咨询（投诉）的联系方式等信息。乙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公告内容构成本协议不可分割的一部分，与本协议具有同等效力，甲</w:t>
      </w:r>
      <w:r>
        <w:rPr>
          <w:rFonts w:ascii="彩虹粗仿宋" w:eastAsia="彩虹粗仿宋" w:hAnsi="微软雅黑"/>
          <w:b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b/>
          <w:color w:val="000000"/>
          <w:sz w:val="28"/>
          <w:szCs w:val="28"/>
        </w:rPr>
        <w:t>应在充分知晓、理解有关公告内容后接受本服务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微软雅黑" w:eastAsia="微软雅黑" w:hAnsi="微软雅黑"/>
          <w:color w:val="3F3F3F"/>
          <w:sz w:val="18"/>
          <w:szCs w:val="1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5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有权依据国家有关规定及业务需要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对本协议条款、分期利率标准及其他费用标准进行变更，或对本业务进行延迟或提前终止，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并按照相关法律、法规或监管机构的要求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公告一定时期后施行。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有权在乙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公告期间选择是否继续使用服务，如果甲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不愿接受乙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公告内容，应在乙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公告施行前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向乙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申请终止本分期服务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；如果甲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未申请终止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相关服务，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视为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同意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相关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调整，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变更后的内容对甲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产生法律约束力，若甲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不执行变更后的内容，乙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有权选择终止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本项服务。</w:t>
      </w:r>
      <w:proofErr w:type="gramStart"/>
      <w:r>
        <w:rPr>
          <w:rFonts w:ascii="彩虹粗仿宋" w:eastAsia="彩虹粗仿宋" w:hAnsi="微软雅黑" w:hint="eastAsia"/>
          <w:color w:val="000000"/>
          <w:sz w:val="28"/>
          <w:szCs w:val="28"/>
        </w:rPr>
        <w:t>本服务</w:t>
      </w:r>
      <w:proofErr w:type="gramEnd"/>
      <w:r>
        <w:rPr>
          <w:rFonts w:ascii="彩虹粗仿宋" w:eastAsia="彩虹粗仿宋" w:hAnsi="微软雅黑" w:hint="eastAsia"/>
          <w:color w:val="000000"/>
          <w:sz w:val="28"/>
          <w:szCs w:val="28"/>
        </w:rPr>
        <w:t>被甲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或乙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终止后，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甲方应向乙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一次性偿还剩余分期本金、分期</w:t>
      </w:r>
      <w:r>
        <w:rPr>
          <w:rStyle w:val="a4"/>
          <w:rFonts w:ascii="彩虹粗仿宋" w:eastAsia="彩虹粗仿宋" w:hAnsi="微软雅黑"/>
          <w:color w:val="000000"/>
          <w:sz w:val="28"/>
          <w:szCs w:val="28"/>
        </w:rPr>
        <w:t>利息</w:t>
      </w:r>
      <w:r>
        <w:rPr>
          <w:rStyle w:val="a4"/>
          <w:rFonts w:ascii="彩虹粗仿宋" w:eastAsia="彩虹粗仿宋" w:hAnsi="微软雅黑" w:hint="eastAsia"/>
          <w:color w:val="000000"/>
          <w:sz w:val="28"/>
          <w:szCs w:val="28"/>
        </w:rPr>
        <w:t>、其他利息、还款违约金等全部应还款项。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彩虹粗仿宋" w:eastAsia="彩虹粗仿宋" w:hAnsi="微软雅黑"/>
          <w:color w:val="000000"/>
          <w:sz w:val="28"/>
          <w:szCs w:val="28"/>
        </w:rPr>
      </w:pPr>
      <w:r>
        <w:rPr>
          <w:rFonts w:ascii="彩虹粗仿宋" w:eastAsia="彩虹粗仿宋" w:hAnsi="微软雅黑"/>
          <w:color w:val="000000"/>
          <w:sz w:val="28"/>
          <w:szCs w:val="28"/>
        </w:rPr>
        <w:t>6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.如甲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在乙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垫付了商品款项后发生退货情形，在商户同意并向乙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返还相应款项后，乙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对甲</w:t>
      </w:r>
      <w:r>
        <w:rPr>
          <w:rFonts w:ascii="彩虹粗仿宋" w:eastAsia="彩虹粗仿宋" w:hAnsi="微软雅黑"/>
          <w:color w:val="000000"/>
          <w:sz w:val="28"/>
          <w:szCs w:val="28"/>
        </w:rPr>
        <w:t>方</w:t>
      </w:r>
      <w:r>
        <w:rPr>
          <w:rFonts w:ascii="彩虹粗仿宋" w:eastAsia="彩虹粗仿宋" w:hAnsi="微软雅黑" w:hint="eastAsia"/>
          <w:color w:val="000000"/>
          <w:sz w:val="28"/>
          <w:szCs w:val="28"/>
        </w:rPr>
        <w:t>龙卡信用卡账户的分期付款金额、期数和分期利息进行调整。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2"/>
        <w:jc w:val="both"/>
        <w:rPr>
          <w:rFonts w:ascii="彩虹粗仿宋" w:eastAsia="彩虹粗仿宋" w:hAnsi="微软雅黑"/>
          <w:color w:val="3F3F3F"/>
          <w:sz w:val="18"/>
          <w:szCs w:val="18"/>
        </w:rPr>
      </w:pPr>
      <w:r>
        <w:rPr>
          <w:rStyle w:val="a4"/>
          <w:rFonts w:ascii="彩虹粗仿宋" w:eastAsia="彩虹粗仿宋" w:hAnsi="等线"/>
          <w:color w:val="000000"/>
          <w:sz w:val="28"/>
          <w:szCs w:val="28"/>
        </w:rPr>
        <w:t>7.</w:t>
      </w:r>
      <w:r>
        <w:rPr>
          <w:rStyle w:val="a4"/>
          <w:rFonts w:ascii="彩虹粗仿宋" w:eastAsia="彩虹粗仿宋" w:hAnsi="等线" w:hint="eastAsia"/>
          <w:color w:val="000000"/>
          <w:sz w:val="28"/>
          <w:szCs w:val="28"/>
        </w:rPr>
        <w:t>如对乙</w:t>
      </w:r>
      <w:r>
        <w:rPr>
          <w:rStyle w:val="a4"/>
          <w:rFonts w:ascii="彩虹粗仿宋" w:eastAsia="彩虹粗仿宋" w:hAnsi="等线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等线" w:hint="eastAsia"/>
          <w:color w:val="000000"/>
          <w:sz w:val="28"/>
          <w:szCs w:val="28"/>
        </w:rPr>
        <w:t>产品或业务协议有疑问、意见或建议，甲方可通过向乙</w:t>
      </w:r>
      <w:r>
        <w:rPr>
          <w:rStyle w:val="a4"/>
          <w:rFonts w:ascii="彩虹粗仿宋" w:eastAsia="彩虹粗仿宋" w:hAnsi="等线"/>
          <w:color w:val="000000"/>
          <w:sz w:val="28"/>
          <w:szCs w:val="28"/>
        </w:rPr>
        <w:t>方</w:t>
      </w:r>
      <w:r>
        <w:rPr>
          <w:rStyle w:val="a4"/>
          <w:rFonts w:ascii="彩虹粗仿宋" w:eastAsia="彩虹粗仿宋" w:hAnsi="等线" w:hint="eastAsia"/>
          <w:color w:val="000000"/>
          <w:sz w:val="28"/>
          <w:szCs w:val="28"/>
        </w:rPr>
        <w:t>当地网点详细了解或拨打乙</w:t>
      </w:r>
      <w:r>
        <w:rPr>
          <w:rStyle w:val="a4"/>
          <w:rFonts w:ascii="彩虹粗仿宋" w:eastAsia="彩虹粗仿宋" w:hAnsi="等线"/>
          <w:color w:val="000000"/>
          <w:sz w:val="28"/>
          <w:szCs w:val="28"/>
        </w:rPr>
        <w:t>方95533客户服务与投诉热线，进行咨询与反映。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Style w:val="a4"/>
          <w:rFonts w:ascii="等线" w:eastAsia="等线" w:hAnsi="等线"/>
          <w:color w:val="000000"/>
          <w:sz w:val="28"/>
          <w:szCs w:val="28"/>
        </w:rPr>
      </w:pPr>
      <w:r>
        <w:rPr>
          <w:rStyle w:val="a4"/>
          <w:rFonts w:ascii="等线" w:eastAsia="等线" w:hAnsi="等线" w:hint="eastAsia"/>
          <w:color w:val="000000"/>
          <w:sz w:val="28"/>
          <w:szCs w:val="28"/>
        </w:rPr>
        <w:t>甲方确认：本人已仔细阅读上述所有条款，并已特别注意字体加黑标注的内容。乙方已应本人要求对相应条款予以充分提示。本人对所有条款的含义及相应的法律后果已全部通晓并充分理解。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Style w:val="a4"/>
          <w:rFonts w:ascii="等线" w:eastAsia="等线" w:hAnsi="等线"/>
          <w:color w:val="000000"/>
          <w:sz w:val="28"/>
          <w:szCs w:val="28"/>
        </w:rPr>
      </w:pPr>
    </w:p>
    <w:p>
      <w:pPr>
        <w:pStyle w:val="Default"/>
        <w:spacing w:line="560" w:lineRule="exact"/>
        <w:ind w:firstLine="560"/>
        <w:jc w:val="right"/>
        <w:rPr>
          <w:rFonts w:ascii="彩虹粗仿宋" w:eastAsia="彩虹粗仿宋" w:hAnsi="宋体" w:cs="宋体"/>
          <w:color w:val="auto"/>
          <w:sz w:val="28"/>
          <w:szCs w:val="28"/>
        </w:rPr>
      </w:pPr>
      <w:r>
        <w:rPr>
          <w:rFonts w:ascii="彩虹粗仿宋" w:eastAsia="彩虹粗仿宋" w:hAnsi="宋体" w:cs="宋体" w:hint="eastAsia"/>
          <w:color w:val="auto"/>
          <w:sz w:val="28"/>
          <w:szCs w:val="28"/>
        </w:rPr>
        <w:t>（202</w:t>
      </w:r>
      <w:r>
        <w:rPr>
          <w:rFonts w:ascii="彩虹粗仿宋" w:eastAsia="彩虹粗仿宋" w:hAnsi="宋体" w:cs="宋体"/>
          <w:color w:val="auto"/>
          <w:sz w:val="28"/>
          <w:szCs w:val="28"/>
        </w:rPr>
        <w:t>3</w:t>
      </w:r>
      <w:r>
        <w:rPr>
          <w:rFonts w:ascii="彩虹粗仿宋" w:eastAsia="彩虹粗仿宋" w:hAnsi="宋体" w:cs="宋体" w:hint="eastAsia"/>
          <w:color w:val="auto"/>
          <w:sz w:val="28"/>
          <w:szCs w:val="28"/>
        </w:rPr>
        <w:t>年</w:t>
      </w:r>
      <w:r>
        <w:rPr>
          <w:rFonts w:ascii="彩虹粗仿宋" w:eastAsia="彩虹粗仿宋" w:hAnsi="宋体" w:cs="宋体"/>
          <w:color w:val="auto"/>
          <w:sz w:val="28"/>
          <w:szCs w:val="28"/>
        </w:rPr>
        <w:t>1</w:t>
      </w:r>
      <w:r>
        <w:rPr>
          <w:rFonts w:ascii="彩虹粗仿宋" w:eastAsia="彩虹粗仿宋" w:hAnsi="宋体" w:cs="宋体" w:hint="eastAsia"/>
          <w:color w:val="auto"/>
          <w:sz w:val="28"/>
          <w:szCs w:val="28"/>
        </w:rPr>
        <w:t>月版）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</w:pPr>
    </w:p>
    <w:sectPr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10992"/>
      <w:docPartObj>
        <w:docPartGallery w:val="Page Numbers (Bottom of Page)"/>
        <w:docPartUnique/>
      </w:docPartObj>
    </w:sdtPr>
    <w:sdtContent>
      <w:p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6</w:t>
        </w:r>
        <w:r>
          <w:fldChar w:fldCharType="end"/>
        </w:r>
      </w:p>
    </w:sdtContent>
  </w:sdt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C4822E11-4D4E-4E59-9F4D-7A4DB51A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owdivtitle">
    <w:name w:val="flow_div_titl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3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23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5691-FE6C-45B5-A0EC-1931845C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吕晓丹</dc:creator>
  <cp:lastModifiedBy>吕晓丹</cp:lastModifiedBy>
  <cp:revision>32</cp:revision>
  <cp:lastPrinted>2022-11-15T08:55:00Z</cp:lastPrinted>
  <dcterms:created xsi:type="dcterms:W3CDTF">2022-10-21T02:28:00Z</dcterms:created>
  <dcterms:modified xsi:type="dcterms:W3CDTF">2022-11-18T06:48:00Z</dcterms:modified>
</cp:coreProperties>
</file>