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C5B" w:rsidRDefault="00C61E4A">
      <w:pPr>
        <w:adjustRightInd w:val="0"/>
        <w:snapToGrid w:val="0"/>
        <w:spacing w:line="360" w:lineRule="auto"/>
        <w:jc w:val="center"/>
        <w:rPr>
          <w:rFonts w:ascii="彩虹小标宋" w:eastAsia="彩虹小标宋" w:hAnsi="宋体"/>
          <w:bCs/>
          <w:snapToGrid w:val="0"/>
          <w:kern w:val="0"/>
          <w:sz w:val="36"/>
          <w:szCs w:val="36"/>
        </w:rPr>
      </w:pPr>
      <w:r>
        <w:rPr>
          <w:rFonts w:ascii="彩虹小标宋" w:eastAsia="彩虹小标宋" w:hAnsi="宋体" w:hint="eastAsia"/>
          <w:bCs/>
          <w:snapToGrid w:val="0"/>
          <w:kern w:val="0"/>
          <w:sz w:val="36"/>
          <w:szCs w:val="36"/>
        </w:rPr>
        <w:t>非IT类服务采购需求</w:t>
      </w:r>
    </w:p>
    <w:p w:rsidR="00663C5B" w:rsidRDefault="00663C5B">
      <w:pPr>
        <w:adjustRightInd w:val="0"/>
        <w:snapToGrid w:val="0"/>
        <w:spacing w:line="360" w:lineRule="auto"/>
        <w:jc w:val="center"/>
        <w:rPr>
          <w:rFonts w:ascii="彩虹小标宋" w:eastAsia="彩虹小标宋" w:hAnsi="宋体"/>
          <w:bCs/>
          <w:snapToGrid w:val="0"/>
          <w:color w:val="FF0000"/>
          <w:kern w:val="0"/>
          <w:sz w:val="36"/>
          <w:szCs w:val="36"/>
        </w:rPr>
      </w:pPr>
    </w:p>
    <w:p w:rsidR="00663C5B" w:rsidRPr="00BD06E2" w:rsidRDefault="00BD06E2" w:rsidP="00BD06E2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一、</w:t>
      </w:r>
      <w:r w:rsidR="00C61E4A" w:rsidRPr="00BD06E2">
        <w:rPr>
          <w:rFonts w:ascii="彩虹粗仿宋" w:eastAsia="彩虹粗仿宋" w:hint="eastAsia"/>
          <w:sz w:val="32"/>
          <w:szCs w:val="32"/>
        </w:rPr>
        <w:t>服务供应商要求</w:t>
      </w:r>
    </w:p>
    <w:p w:rsidR="009A3D89" w:rsidRPr="009A3D89" w:rsidRDefault="009A3D89" w:rsidP="009A3D89">
      <w:pPr>
        <w:spacing w:line="360" w:lineRule="auto"/>
        <w:ind w:firstLineChars="200" w:firstLine="640"/>
        <w:rPr>
          <w:rFonts w:ascii="彩虹粗仿宋" w:eastAsia="彩虹粗仿宋" w:hint="eastAsia"/>
          <w:sz w:val="32"/>
          <w:szCs w:val="32"/>
        </w:rPr>
      </w:pPr>
      <w:r w:rsidRPr="009A3D89">
        <w:rPr>
          <w:rFonts w:ascii="彩虹粗仿宋" w:eastAsia="彩虹粗仿宋" w:hint="eastAsia"/>
          <w:sz w:val="32"/>
          <w:szCs w:val="32"/>
        </w:rPr>
        <w:t>（1）律师团队经验丰富，指定的代理律师应当具有执业资格。</w:t>
      </w:r>
    </w:p>
    <w:p w:rsidR="009A3D89" w:rsidRPr="009A3D89" w:rsidRDefault="009A3D89" w:rsidP="009A3D89">
      <w:pPr>
        <w:spacing w:line="360" w:lineRule="auto"/>
        <w:ind w:firstLineChars="200" w:firstLine="640"/>
        <w:rPr>
          <w:rFonts w:ascii="彩虹粗仿宋" w:eastAsia="彩虹粗仿宋" w:hint="eastAsia"/>
          <w:sz w:val="32"/>
          <w:szCs w:val="32"/>
        </w:rPr>
      </w:pPr>
      <w:r w:rsidRPr="009A3D89">
        <w:rPr>
          <w:rFonts w:ascii="彩虹粗仿宋" w:eastAsia="彩虹粗仿宋" w:hint="eastAsia"/>
          <w:sz w:val="32"/>
          <w:szCs w:val="32"/>
        </w:rPr>
        <w:t>（2）律师事务所熟悉银行经营管理和金融业务，精通金融法律法规，具备处理负责或疑难法律事务的工作经验和能力，并具备良好的职业道德。</w:t>
      </w:r>
    </w:p>
    <w:p w:rsidR="00663C5B" w:rsidRPr="009A3D89" w:rsidRDefault="009A3D89" w:rsidP="009A3D89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9A3D89">
        <w:rPr>
          <w:rFonts w:ascii="彩虹粗仿宋" w:eastAsia="彩虹粗仿宋" w:hint="eastAsia"/>
          <w:sz w:val="32"/>
          <w:szCs w:val="32"/>
        </w:rPr>
        <w:t>（3）律师事务所应具有处理类似案件的经验，并在报名环节提供代理同类诉讼案件的案例。</w:t>
      </w:r>
    </w:p>
    <w:p w:rsidR="00663C5B" w:rsidRPr="00BD06E2" w:rsidRDefault="00C61E4A" w:rsidP="00BD06E2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BD06E2">
        <w:rPr>
          <w:rFonts w:ascii="彩虹粗仿宋" w:eastAsia="彩虹粗仿宋" w:hint="eastAsia"/>
          <w:sz w:val="32"/>
          <w:szCs w:val="32"/>
        </w:rPr>
        <w:t>二、服务品类</w:t>
      </w:r>
    </w:p>
    <w:p w:rsidR="00663C5B" w:rsidRPr="00BD06E2" w:rsidRDefault="00C61E4A" w:rsidP="00BD06E2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BD06E2">
        <w:rPr>
          <w:rFonts w:ascii="彩虹粗仿宋" w:eastAsia="彩虹粗仿宋" w:hint="eastAsia"/>
          <w:sz w:val="32"/>
          <w:szCs w:val="32"/>
        </w:rPr>
        <w:t>法律服务</w:t>
      </w:r>
      <w:r w:rsidRPr="00BD06E2">
        <w:rPr>
          <w:rFonts w:ascii="彩虹粗仿宋" w:eastAsia="彩虹粗仿宋"/>
          <w:sz w:val="32"/>
          <w:szCs w:val="32"/>
        </w:rPr>
        <w:t xml:space="preserve">-C0601 </w:t>
      </w:r>
      <w:r w:rsidRPr="00BD06E2">
        <w:rPr>
          <w:rFonts w:ascii="彩虹粗仿宋" w:eastAsia="彩虹粗仿宋" w:hint="eastAsia"/>
          <w:sz w:val="32"/>
          <w:szCs w:val="32"/>
        </w:rPr>
        <w:t>诉讼法律服务。</w:t>
      </w:r>
    </w:p>
    <w:p w:rsidR="00BD06E2" w:rsidRDefault="00C61E4A" w:rsidP="00BD06E2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BD06E2">
        <w:rPr>
          <w:rFonts w:ascii="彩虹粗仿宋" w:eastAsia="彩虹粗仿宋" w:hint="eastAsia"/>
          <w:sz w:val="32"/>
          <w:szCs w:val="32"/>
        </w:rPr>
        <w:t>三、服务内容</w:t>
      </w:r>
    </w:p>
    <w:p w:rsidR="00BD06E2" w:rsidRDefault="00BD06E2" w:rsidP="00BD06E2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建行长春朝阳支行</w:t>
      </w:r>
      <w:r w:rsidRPr="00BD06E2">
        <w:rPr>
          <w:rFonts w:ascii="彩虹粗仿宋" w:eastAsia="彩虹粗仿宋" w:hint="eastAsia"/>
          <w:sz w:val="32"/>
          <w:szCs w:val="32"/>
        </w:rPr>
        <w:t>与</w:t>
      </w:r>
      <w:bookmarkStart w:id="0" w:name="_GoBack"/>
      <w:bookmarkEnd w:id="0"/>
      <w:r>
        <w:rPr>
          <w:rFonts w:ascii="彩虹粗仿宋" w:eastAsia="彩虹粗仿宋" w:hint="eastAsia"/>
          <w:sz w:val="32"/>
          <w:szCs w:val="32"/>
        </w:rPr>
        <w:t>两位自然人</w:t>
      </w:r>
      <w:r w:rsidRPr="00BD06E2">
        <w:rPr>
          <w:rFonts w:ascii="彩虹粗仿宋" w:eastAsia="彩虹粗仿宋" w:hint="eastAsia"/>
          <w:sz w:val="32"/>
          <w:szCs w:val="32"/>
        </w:rPr>
        <w:t>（包括本次及后续全部房产）所涉及的全部流程的代理服务（包括但不限于执行异议、复议、执行监督、执行异议之诉一审、二审 、再审等）及法律支持、咨询服务和风险化解等相关事项。</w:t>
      </w:r>
    </w:p>
    <w:p w:rsidR="00663C5B" w:rsidRDefault="00C61E4A" w:rsidP="00BD06E2">
      <w:pPr>
        <w:spacing w:line="360" w:lineRule="auto"/>
        <w:ind w:firstLineChars="200" w:firstLine="640"/>
        <w:rPr>
          <w:rFonts w:ascii="彩虹粗仿宋" w:eastAsia="彩虹粗仿宋" w:hAnsi="宋体"/>
          <w:snapToGrid w:val="0"/>
          <w:kern w:val="0"/>
          <w:sz w:val="32"/>
          <w:szCs w:val="32"/>
        </w:rPr>
      </w:pPr>
      <w:r w:rsidRPr="00BD06E2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服务团队</w:t>
      </w: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主办律师应具有丰富的处理银行债权类案件的从业经验，项目团队应至少包含2名能够全流程负责处理本案的主办律师，上述人员应熟悉我国金融法律法规、民事诉讼、执行、合同、企业破产等适用于处理本案的法律法规及政策；熟悉土地及房产抵押权处置流程；能撰写</w:t>
      </w: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lastRenderedPageBreak/>
        <w:t>高质量的诉讼文书、法律意见书、案件报告等专业性资料。</w:t>
      </w:r>
    </w:p>
    <w:p w:rsidR="00663C5B" w:rsidRDefault="00C61E4A">
      <w:pPr>
        <w:pStyle w:val="a6"/>
        <w:numPr>
          <w:ilvl w:val="0"/>
          <w:numId w:val="2"/>
        </w:numPr>
        <w:adjustRightInd w:val="0"/>
        <w:snapToGrid w:val="0"/>
        <w:spacing w:line="360" w:lineRule="auto"/>
        <w:ind w:leftChars="200" w:left="420" w:firstLineChars="100" w:firstLine="320"/>
        <w:rPr>
          <w:rFonts w:ascii="彩虹粗仿宋" w:eastAsia="彩虹粗仿宋" w:hAnsi="宋体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服务质量要求</w:t>
      </w:r>
    </w:p>
    <w:p w:rsidR="00663C5B" w:rsidRDefault="00BD06E2" w:rsidP="00BD06E2">
      <w:pPr>
        <w:adjustRightInd w:val="0"/>
        <w:snapToGrid w:val="0"/>
        <w:spacing w:line="360" w:lineRule="auto"/>
        <w:ind w:firstLineChars="200" w:firstLine="640"/>
        <w:rPr>
          <w:rFonts w:ascii="彩虹粗仿宋" w:eastAsia="彩虹粗仿宋" w:hAnsi="宋体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（一）</w:t>
      </w:r>
      <w:r w:rsidR="00C61E4A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供应商应按照我行要求的时限推进案件处置进程；不得因自身疏忽行为给我行造成中重大利益损害；所起草或审查的法律性文件，不得因违法情形被认定为无效、可撤销，或存在严重不当内容。</w:t>
      </w:r>
    </w:p>
    <w:p w:rsidR="00663C5B" w:rsidRDefault="00C61E4A">
      <w:pPr>
        <w:adjustRightInd w:val="0"/>
        <w:snapToGrid w:val="0"/>
        <w:spacing w:line="360" w:lineRule="auto"/>
        <w:ind w:firstLineChars="200" w:firstLine="640"/>
        <w:rPr>
          <w:rFonts w:ascii="彩虹粗仿宋" w:eastAsia="彩虹粗仿宋" w:hAnsi="宋体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（二）</w:t>
      </w:r>
      <w:r w:rsidRPr="00BD06E2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乙方及指派代理律师应当依法规范、审慎严谨地行使代理权，不得超越代理权行事；不得擅自转委托第三方提供代理服务；不得在服务过程中侵害我行及第三方合法权益。应</w:t>
      </w: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具备良好的敬业精神，对我行提出的服务需求不得敷衍、推诿或逃避责任；需主动性与我行保持沟通协作，确保按约定完成全部工作事项。</w:t>
      </w:r>
    </w:p>
    <w:p w:rsidR="00663C5B" w:rsidRDefault="00C61E4A">
      <w:pPr>
        <w:adjustRightInd w:val="0"/>
        <w:snapToGrid w:val="0"/>
        <w:spacing w:line="360" w:lineRule="auto"/>
        <w:ind w:firstLineChars="200" w:firstLine="640"/>
        <w:rPr>
          <w:rFonts w:ascii="彩虹粗仿宋" w:eastAsia="彩虹粗仿宋" w:hAnsi="宋体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（三）供应商须具备金融法律服务领域的专业知识和业务技能</w:t>
      </w:r>
      <w:r w:rsidR="00BD06E2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，拥有较强的</w:t>
      </w: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问题分析及处置能力，能够准确理解我行服务需求、精准定位问题核心并制定解决方案，可针对法律服务工作提出建设性思路与优化方案。</w:t>
      </w:r>
    </w:p>
    <w:p w:rsidR="00663C5B" w:rsidRDefault="00C61E4A" w:rsidP="00BD06E2">
      <w:pPr>
        <w:adjustRightInd w:val="0"/>
        <w:snapToGrid w:val="0"/>
        <w:spacing w:line="360" w:lineRule="auto"/>
        <w:ind w:firstLineChars="200" w:firstLine="640"/>
        <w:rPr>
          <w:rFonts w:ascii="彩虹粗仿宋" w:eastAsia="彩虹粗仿宋" w:hAnsi="宋体"/>
          <w:snapToGrid w:val="0"/>
          <w:kern w:val="0"/>
          <w:sz w:val="32"/>
          <w:szCs w:val="32"/>
        </w:rPr>
      </w:pPr>
      <w:r w:rsidRPr="00BD06E2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（四）供应上应对我行商业秘密、本次委托事项涉及的证据材料、法律文书等均负有保密义务。</w:t>
      </w:r>
    </w:p>
    <w:p w:rsidR="00663C5B" w:rsidRDefault="00C61E4A">
      <w:pPr>
        <w:pStyle w:val="a6"/>
        <w:adjustRightInd w:val="0"/>
        <w:snapToGrid w:val="0"/>
        <w:spacing w:line="360" w:lineRule="auto"/>
        <w:ind w:left="640" w:firstLineChars="0" w:firstLine="0"/>
        <w:rPr>
          <w:rFonts w:ascii="彩虹粗仿宋" w:eastAsia="彩虹粗仿宋" w:hAnsi="宋体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六、服务数量要求</w:t>
      </w:r>
    </w:p>
    <w:p w:rsidR="00663C5B" w:rsidRDefault="00BD06E2" w:rsidP="00BD06E2">
      <w:pPr>
        <w:pStyle w:val="a6"/>
        <w:adjustRightInd w:val="0"/>
        <w:snapToGrid w:val="0"/>
        <w:spacing w:line="360" w:lineRule="auto"/>
        <w:ind w:firstLine="640"/>
        <w:rPr>
          <w:rFonts w:ascii="彩虹粗仿宋" w:eastAsia="彩虹粗仿宋" w:hAnsi="宋体"/>
          <w:snapToGrid w:val="0"/>
          <w:color w:val="FF0000"/>
          <w:kern w:val="0"/>
          <w:sz w:val="32"/>
          <w:szCs w:val="32"/>
        </w:rPr>
      </w:pP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本次执行纠纷服务</w:t>
      </w:r>
      <w:r w:rsidRPr="00BD06E2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包括但不限于执行异议、复议、执行监督、执行异议之诉一审、二审 、再审等）及法律支持、咨询服务和风险化解等相关事项</w:t>
      </w: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。</w:t>
      </w:r>
    </w:p>
    <w:p w:rsidR="00663C5B" w:rsidRDefault="00C61E4A">
      <w:pPr>
        <w:pStyle w:val="a6"/>
        <w:adjustRightInd w:val="0"/>
        <w:snapToGrid w:val="0"/>
        <w:spacing w:line="360" w:lineRule="auto"/>
        <w:ind w:left="640" w:firstLineChars="0" w:firstLine="0"/>
        <w:rPr>
          <w:rFonts w:ascii="彩虹粗仿宋" w:eastAsia="彩虹粗仿宋" w:hAnsi="宋体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lastRenderedPageBreak/>
        <w:t>七、服务供应安排</w:t>
      </w:r>
    </w:p>
    <w:p w:rsidR="00663C5B" w:rsidRDefault="00C61E4A" w:rsidP="00BD06E2">
      <w:pPr>
        <w:pStyle w:val="a6"/>
        <w:adjustRightInd w:val="0"/>
        <w:snapToGrid w:val="0"/>
        <w:spacing w:line="360" w:lineRule="auto"/>
        <w:ind w:firstLine="640"/>
        <w:rPr>
          <w:rFonts w:ascii="彩虹粗仿宋" w:eastAsia="彩虹粗仿宋" w:hAnsi="宋体"/>
          <w:snapToGrid w:val="0"/>
          <w:color w:val="FF0000"/>
          <w:kern w:val="0"/>
          <w:sz w:val="32"/>
          <w:szCs w:val="32"/>
        </w:rPr>
      </w:pP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采购合同生效后，立即开始提供各项服务；服务过程中，能够严格按照采购协议及我行要求提供服务。</w:t>
      </w:r>
    </w:p>
    <w:p w:rsidR="00663C5B" w:rsidRDefault="00C61E4A" w:rsidP="00BD06E2">
      <w:pPr>
        <w:pStyle w:val="a6"/>
        <w:adjustRightInd w:val="0"/>
        <w:snapToGrid w:val="0"/>
        <w:spacing w:line="360" w:lineRule="auto"/>
        <w:ind w:leftChars="200" w:left="420" w:firstLineChars="100" w:firstLine="320"/>
        <w:rPr>
          <w:rFonts w:ascii="彩虹粗仿宋" w:eastAsia="彩虹粗仿宋" w:hAnsi="宋体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八、款项支付要求</w:t>
      </w:r>
    </w:p>
    <w:p w:rsidR="00663C5B" w:rsidRDefault="00C61E4A" w:rsidP="00BD06E2">
      <w:pPr>
        <w:pStyle w:val="a6"/>
        <w:adjustRightInd w:val="0"/>
        <w:snapToGrid w:val="0"/>
        <w:spacing w:line="360" w:lineRule="auto"/>
        <w:ind w:firstLine="640"/>
        <w:rPr>
          <w:rFonts w:ascii="彩虹粗仿宋" w:eastAsia="彩虹粗仿宋" w:hAnsi="宋体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案件代理费采取分阶段分期方式支付。</w:t>
      </w:r>
    </w:p>
    <w:p w:rsidR="00663C5B" w:rsidRDefault="00C61E4A" w:rsidP="00BD06E2">
      <w:pPr>
        <w:pStyle w:val="a6"/>
        <w:adjustRightInd w:val="0"/>
        <w:snapToGrid w:val="0"/>
        <w:spacing w:line="360" w:lineRule="auto"/>
        <w:ind w:firstLine="640"/>
        <w:rPr>
          <w:rFonts w:ascii="彩虹粗仿宋" w:eastAsia="彩虹粗仿宋" w:hAnsi="宋体" w:hint="eastAsia"/>
          <w:snapToGrid w:val="0"/>
          <w:kern w:val="0"/>
          <w:sz w:val="32"/>
          <w:szCs w:val="32"/>
        </w:rPr>
      </w:pPr>
      <w:r w:rsidRPr="00BD06E2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结合本案案情及诉讼代理工作难易程度及询价情况综合考虑，律师代理费拟根据中标供应商的工作成效按照以下方式据实计付：</w:t>
      </w:r>
    </w:p>
    <w:tbl>
      <w:tblPr>
        <w:tblW w:w="4964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8"/>
        <w:gridCol w:w="1220"/>
        <w:gridCol w:w="1221"/>
        <w:gridCol w:w="1221"/>
        <w:gridCol w:w="2186"/>
        <w:gridCol w:w="1418"/>
      </w:tblGrid>
      <w:tr w:rsidR="00FA6944" w:rsidTr="00FA6944">
        <w:tc>
          <w:tcPr>
            <w:tcW w:w="121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FA6944" w:rsidRDefault="00FA6944">
            <w:pPr>
              <w:pStyle w:val="Style13"/>
              <w:rPr>
                <w:rFonts w:ascii="彩虹粗仿宋" w:eastAsia="彩虹粗仿宋" w:hAnsi="彩虹粗仿宋" w:cs="彩虹粗仿宋"/>
                <w:sz w:val="21"/>
                <w:szCs w:val="21"/>
              </w:rPr>
            </w:pPr>
            <w:r>
              <w:rPr>
                <w:rFonts w:ascii="彩虹粗仿宋" w:eastAsia="彩虹粗仿宋" w:hAnsi="彩虹粗仿宋" w:cs="彩虹粗仿宋" w:hint="eastAsia"/>
                <w:sz w:val="21"/>
                <w:szCs w:val="21"/>
              </w:rPr>
              <w:t>序号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FA6944" w:rsidRDefault="00FA6944">
            <w:pPr>
              <w:pStyle w:val="Style13"/>
              <w:rPr>
                <w:rFonts w:ascii="彩虹粗仿宋" w:eastAsia="彩虹粗仿宋" w:hAnsi="彩虹粗仿宋" w:cs="彩虹粗仿宋"/>
                <w:sz w:val="21"/>
                <w:szCs w:val="21"/>
              </w:rPr>
            </w:pPr>
            <w:r>
              <w:rPr>
                <w:rFonts w:ascii="彩虹粗仿宋" w:eastAsia="彩虹粗仿宋" w:hAnsi="彩虹粗仿宋" w:cs="彩虹粗仿宋" w:hint="eastAsia"/>
                <w:sz w:val="21"/>
                <w:szCs w:val="21"/>
              </w:rPr>
              <w:t>商品名称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FA6944" w:rsidRDefault="00FA6944">
            <w:pPr>
              <w:pStyle w:val="Style13"/>
              <w:rPr>
                <w:rFonts w:ascii="彩虹粗仿宋" w:eastAsia="彩虹粗仿宋" w:hAnsi="彩虹粗仿宋" w:cs="彩虹粗仿宋"/>
                <w:sz w:val="21"/>
                <w:szCs w:val="21"/>
              </w:rPr>
            </w:pPr>
            <w:r>
              <w:rPr>
                <w:rFonts w:ascii="彩虹粗仿宋" w:eastAsia="彩虹粗仿宋" w:hAnsi="彩虹粗仿宋" w:cs="彩虹粗仿宋" w:hint="eastAsia"/>
                <w:sz w:val="21"/>
                <w:szCs w:val="21"/>
              </w:rPr>
              <w:t>服务品类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FA6944" w:rsidRDefault="00FA6944">
            <w:pPr>
              <w:pStyle w:val="Style13"/>
              <w:rPr>
                <w:rFonts w:ascii="彩虹粗仿宋" w:eastAsia="彩虹粗仿宋" w:hAnsi="彩虹粗仿宋" w:cs="彩虹粗仿宋"/>
                <w:sz w:val="21"/>
                <w:szCs w:val="21"/>
              </w:rPr>
            </w:pPr>
            <w:r>
              <w:rPr>
                <w:rFonts w:ascii="彩虹粗仿宋" w:eastAsia="彩虹粗仿宋" w:hAnsi="彩虹粗仿宋" w:cs="彩虹粗仿宋" w:hint="eastAsia"/>
                <w:sz w:val="21"/>
                <w:szCs w:val="21"/>
              </w:rPr>
              <w:t>计价方式</w:t>
            </w:r>
          </w:p>
        </w:tc>
        <w:tc>
          <w:tcPr>
            <w:tcW w:w="218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FA6944" w:rsidRDefault="00FA6944">
            <w:pPr>
              <w:pStyle w:val="Style13"/>
              <w:rPr>
                <w:rFonts w:ascii="彩虹粗仿宋" w:eastAsia="彩虹粗仿宋" w:hAnsi="彩虹粗仿宋" w:cs="彩虹粗仿宋"/>
                <w:sz w:val="21"/>
                <w:szCs w:val="21"/>
              </w:rPr>
            </w:pPr>
            <w:r>
              <w:rPr>
                <w:rFonts w:ascii="彩虹粗仿宋" w:eastAsia="彩虹粗仿宋" w:hAnsi="彩虹粗仿宋" w:cs="彩虹粗仿宋" w:hint="eastAsia"/>
                <w:sz w:val="21"/>
                <w:szCs w:val="21"/>
              </w:rPr>
              <w:t>报价要求（含费率上限）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FA6944" w:rsidRDefault="00FA6944">
            <w:pPr>
              <w:pStyle w:val="Style13"/>
              <w:rPr>
                <w:rFonts w:ascii="彩虹粗仿宋" w:eastAsia="彩虹粗仿宋" w:hAnsi="彩虹粗仿宋" w:cs="彩虹粗仿宋"/>
                <w:sz w:val="21"/>
                <w:szCs w:val="21"/>
              </w:rPr>
            </w:pPr>
            <w:r>
              <w:rPr>
                <w:rFonts w:ascii="彩虹粗仿宋" w:eastAsia="彩虹粗仿宋" w:hAnsi="彩虹粗仿宋" w:cs="彩虹粗仿宋" w:hint="eastAsia"/>
                <w:sz w:val="21"/>
                <w:szCs w:val="21"/>
              </w:rPr>
              <w:t>备注</w:t>
            </w:r>
          </w:p>
        </w:tc>
      </w:tr>
      <w:tr w:rsidR="00FA6944" w:rsidTr="00FA6944">
        <w:tc>
          <w:tcPr>
            <w:tcW w:w="121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FA6944" w:rsidRDefault="00FA6944">
            <w:pPr>
              <w:pStyle w:val="Style13"/>
              <w:rPr>
                <w:rFonts w:ascii="彩虹粗仿宋" w:eastAsia="彩虹粗仿宋" w:hAnsi="彩虹粗仿宋" w:cs="彩虹粗仿宋"/>
                <w:sz w:val="21"/>
                <w:szCs w:val="21"/>
              </w:rPr>
            </w:pPr>
            <w:r>
              <w:rPr>
                <w:rFonts w:ascii="彩虹粗仿宋" w:eastAsia="彩虹粗仿宋" w:hAnsi="彩虹粗仿宋" w:cs="彩虹粗仿宋" w:hint="eastAsia"/>
                <w:sz w:val="21"/>
                <w:szCs w:val="21"/>
              </w:rPr>
              <w:t>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FA6944" w:rsidRDefault="00FA6944">
            <w:pPr>
              <w:pStyle w:val="Style13"/>
              <w:rPr>
                <w:rFonts w:ascii="彩虹粗仿宋" w:eastAsia="彩虹粗仿宋" w:hAnsi="彩虹粗仿宋" w:cs="彩虹粗仿宋"/>
                <w:sz w:val="21"/>
                <w:szCs w:val="21"/>
              </w:rPr>
            </w:pPr>
            <w:r>
              <w:rPr>
                <w:rFonts w:ascii="彩虹粗仿宋" w:eastAsia="彩虹粗仿宋" w:hAnsi="彩虹粗仿宋" w:cs="彩虹粗仿宋" w:hint="eastAsia"/>
                <w:sz w:val="21"/>
                <w:szCs w:val="21"/>
              </w:rPr>
              <w:t>基础代理费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FA6944" w:rsidRDefault="00FA6944">
            <w:pPr>
              <w:pStyle w:val="Style13"/>
              <w:rPr>
                <w:rFonts w:ascii="彩虹粗仿宋" w:eastAsia="彩虹粗仿宋" w:hAnsi="彩虹粗仿宋" w:cs="彩虹粗仿宋"/>
                <w:sz w:val="21"/>
                <w:szCs w:val="21"/>
              </w:rPr>
            </w:pPr>
            <w:r>
              <w:rPr>
                <w:rFonts w:ascii="彩虹粗仿宋" w:eastAsia="彩虹粗仿宋" w:hAnsi="彩虹粗仿宋" w:cs="彩虹粗仿宋" w:hint="eastAsia"/>
                <w:sz w:val="21"/>
                <w:szCs w:val="21"/>
              </w:rPr>
              <w:t>诉讼/执行法律服务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FA6944" w:rsidRDefault="00FA6944">
            <w:pPr>
              <w:pStyle w:val="Style13"/>
              <w:rPr>
                <w:rFonts w:ascii="彩虹粗仿宋" w:eastAsia="彩虹粗仿宋" w:hAnsi="彩虹粗仿宋" w:cs="彩虹粗仿宋"/>
                <w:sz w:val="21"/>
                <w:szCs w:val="21"/>
              </w:rPr>
            </w:pPr>
            <w:r>
              <w:rPr>
                <w:rFonts w:ascii="彩虹粗仿宋" w:eastAsia="彩虹粗仿宋" w:hAnsi="彩虹粗仿宋" w:cs="彩虹粗仿宋" w:hint="eastAsia"/>
                <w:sz w:val="21"/>
                <w:szCs w:val="21"/>
              </w:rPr>
              <w:t>按项计价，全项目合计报价</w:t>
            </w:r>
          </w:p>
        </w:tc>
        <w:tc>
          <w:tcPr>
            <w:tcW w:w="218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FA6944" w:rsidRDefault="00FA6944" w:rsidP="00FA6944">
            <w:pPr>
              <w:pStyle w:val="Style13"/>
              <w:rPr>
                <w:rFonts w:ascii="彩虹粗仿宋" w:eastAsia="彩虹粗仿宋" w:hAnsi="彩虹粗仿宋" w:cs="彩虹粗仿宋"/>
                <w:sz w:val="21"/>
                <w:szCs w:val="21"/>
              </w:rPr>
            </w:pPr>
            <w:r>
              <w:rPr>
                <w:rFonts w:ascii="彩虹粗仿宋" w:eastAsia="彩虹粗仿宋" w:hAnsi="彩虹粗仿宋" w:cs="彩虹粗仿宋" w:hint="eastAsia"/>
                <w:sz w:val="21"/>
                <w:szCs w:val="21"/>
              </w:rPr>
              <w:t>1.报价不高于当地律师协会现行收费标准，且不高于供应商向其他委托人提供同类服务的价格；2. 报价为全税全包价格，包含完成全部服务所需的所有费用；3. 供应商需同步报本项服务的</w:t>
            </w:r>
            <w:r>
              <w:rPr>
                <w:rFonts w:ascii="彩虹粗仿宋" w:eastAsia="彩虹粗仿宋" w:hAnsi="彩虹粗仿宋" w:cs="彩虹粗仿宋" w:hint="eastAsia"/>
                <w:b/>
                <w:bCs/>
                <w:sz w:val="21"/>
                <w:szCs w:val="21"/>
              </w:rPr>
              <w:t>总价及对应综合费率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FA6944" w:rsidRDefault="00FA6944">
            <w:pPr>
              <w:pStyle w:val="Style13"/>
              <w:rPr>
                <w:rFonts w:ascii="彩虹粗仿宋" w:eastAsia="彩虹粗仿宋" w:hAnsi="彩虹粗仿宋" w:cs="彩虹粗仿宋"/>
                <w:sz w:val="21"/>
                <w:szCs w:val="21"/>
              </w:rPr>
            </w:pPr>
            <w:r>
              <w:rPr>
                <w:rFonts w:ascii="彩虹粗仿宋" w:eastAsia="彩虹粗仿宋" w:hAnsi="彩虹粗仿宋" w:cs="彩虹粗仿宋" w:hint="eastAsia"/>
                <w:sz w:val="21"/>
                <w:szCs w:val="21"/>
              </w:rPr>
              <w:t>基础代理费按约定付款条件分阶段支付</w:t>
            </w:r>
          </w:p>
        </w:tc>
      </w:tr>
    </w:tbl>
    <w:p w:rsidR="00663C5B" w:rsidRDefault="00C61E4A">
      <w:pPr>
        <w:numPr>
          <w:ilvl w:val="0"/>
          <w:numId w:val="4"/>
        </w:num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="宋体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售后服务要求。</w:t>
      </w:r>
    </w:p>
    <w:p w:rsidR="00663C5B" w:rsidRDefault="00C61E4A">
      <w:pPr>
        <w:adjustRightInd w:val="0"/>
        <w:snapToGrid w:val="0"/>
        <w:spacing w:line="560" w:lineRule="atLeast"/>
        <w:rPr>
          <w:rFonts w:ascii="彩虹粗仿宋" w:eastAsia="彩虹粗仿宋" w:hAnsi="宋体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 xml:space="preserve">    </w:t>
      </w:r>
      <w:r>
        <w:rPr>
          <w:rFonts w:ascii="彩虹粗仿宋" w:eastAsia="彩虹粗仿宋" w:hAnsi="宋体"/>
          <w:snapToGrid w:val="0"/>
          <w:kern w:val="0"/>
          <w:sz w:val="32"/>
          <w:szCs w:val="32"/>
        </w:rPr>
        <w:t>根据案件代理需要，随时提供售后服务。</w:t>
      </w: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如基于同一事实再次发生诉讼，或人民法院依申请决定再审，或发生其他衍生风险事项，供应商应当负责处理，并不再重复收取费用。</w:t>
      </w:r>
    </w:p>
    <w:p w:rsidR="00663C5B" w:rsidRDefault="00C61E4A">
      <w:pPr>
        <w:adjustRightInd w:val="0"/>
        <w:snapToGrid w:val="0"/>
        <w:spacing w:line="360" w:lineRule="auto"/>
        <w:ind w:firstLineChars="200" w:firstLine="640"/>
        <w:rPr>
          <w:rFonts w:ascii="彩虹粗仿宋" w:eastAsia="彩虹粗仿宋" w:hAnsi="宋体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十、报价要求。</w:t>
      </w:r>
    </w:p>
    <w:p w:rsidR="00663C5B" w:rsidRDefault="00C61E4A" w:rsidP="00C61E4A">
      <w:pPr>
        <w:adjustRightInd w:val="0"/>
        <w:snapToGrid w:val="0"/>
        <w:spacing w:line="360" w:lineRule="auto"/>
        <w:ind w:firstLineChars="200" w:firstLine="640"/>
        <w:rPr>
          <w:rFonts w:ascii="彩虹粗仿宋" w:eastAsia="彩虹粗仿宋" w:hAnsi="宋体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供应商应在当地律协现行收费标准的基础上给予优惠，</w:t>
      </w: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lastRenderedPageBreak/>
        <w:t>且报价不高于其向其他委托人提供同类服务的价格。本次供应商按基础代理费、现金回收代理费和以物抵债等其他方式回收代理费（均为含税费率）报价。报价价格应包含供应商因处理本案发生的差旅费用，其他费用按照中标后双方最终签订的代理协议执行。</w:t>
      </w:r>
    </w:p>
    <w:p w:rsidR="00663C5B" w:rsidRDefault="00C61E4A">
      <w:pPr>
        <w:adjustRightInd w:val="0"/>
        <w:snapToGrid w:val="0"/>
        <w:spacing w:line="360" w:lineRule="auto"/>
        <w:ind w:firstLineChars="200" w:firstLine="640"/>
        <w:rPr>
          <w:rFonts w:ascii="彩虹粗仿宋" w:eastAsia="彩虹粗仿宋" w:hAnsi="宋体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十一、其他要求。</w:t>
      </w:r>
    </w:p>
    <w:p w:rsidR="00663C5B" w:rsidRPr="00C61E4A" w:rsidRDefault="00C61E4A" w:rsidP="00C61E4A">
      <w:pPr>
        <w:adjustRightInd w:val="0"/>
        <w:snapToGrid w:val="0"/>
        <w:spacing w:line="360" w:lineRule="auto"/>
        <w:ind w:firstLineChars="200" w:firstLine="640"/>
        <w:rPr>
          <w:rFonts w:ascii="彩虹粗仿宋" w:eastAsia="彩虹粗仿宋" w:hAnsi="宋体"/>
          <w:snapToGrid w:val="0"/>
          <w:kern w:val="0"/>
          <w:sz w:val="32"/>
          <w:szCs w:val="32"/>
        </w:rPr>
      </w:pPr>
      <w:r w:rsidRPr="00C61E4A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供应商对本项目如有任何疑问应及时与我行联系人联系。</w:t>
      </w:r>
    </w:p>
    <w:p w:rsidR="00663C5B" w:rsidRDefault="00663C5B"/>
    <w:sectPr w:rsidR="00663C5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FDA53E"/>
    <w:multiLevelType w:val="singleLevel"/>
    <w:tmpl w:val="F4FDA53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DDDAD9"/>
    <w:multiLevelType w:val="singleLevel"/>
    <w:tmpl w:val="FFDDDAD9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C10409A"/>
    <w:multiLevelType w:val="multilevel"/>
    <w:tmpl w:val="1C10409A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7F92B58"/>
    <w:multiLevelType w:val="multilevel"/>
    <w:tmpl w:val="27F92B58"/>
    <w:lvl w:ilvl="0">
      <w:start w:val="1"/>
      <w:numFmt w:val="japaneseCounting"/>
      <w:lvlText w:val="（%1）"/>
      <w:lvlJc w:val="left"/>
      <w:pPr>
        <w:ind w:left="171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5"/>
    <w:rsid w:val="00032DBF"/>
    <w:rsid w:val="00042C79"/>
    <w:rsid w:val="00223118"/>
    <w:rsid w:val="003043DA"/>
    <w:rsid w:val="003046DC"/>
    <w:rsid w:val="0035293F"/>
    <w:rsid w:val="003B3C1F"/>
    <w:rsid w:val="004B2907"/>
    <w:rsid w:val="00663C5B"/>
    <w:rsid w:val="006B70D6"/>
    <w:rsid w:val="006C01F5"/>
    <w:rsid w:val="006E1705"/>
    <w:rsid w:val="006F1A93"/>
    <w:rsid w:val="0078277E"/>
    <w:rsid w:val="00821ED1"/>
    <w:rsid w:val="009A3D89"/>
    <w:rsid w:val="00A73EAB"/>
    <w:rsid w:val="00B10044"/>
    <w:rsid w:val="00B5377C"/>
    <w:rsid w:val="00BD06E2"/>
    <w:rsid w:val="00C23A41"/>
    <w:rsid w:val="00C61E4A"/>
    <w:rsid w:val="00CD1E8D"/>
    <w:rsid w:val="00D16B97"/>
    <w:rsid w:val="00D50927"/>
    <w:rsid w:val="00D534A4"/>
    <w:rsid w:val="00EC123B"/>
    <w:rsid w:val="00ED6B10"/>
    <w:rsid w:val="00F94F78"/>
    <w:rsid w:val="00FA6944"/>
    <w:rsid w:val="027E19F0"/>
    <w:rsid w:val="05443676"/>
    <w:rsid w:val="0C951E09"/>
    <w:rsid w:val="0D73648B"/>
    <w:rsid w:val="15F32639"/>
    <w:rsid w:val="1F57060E"/>
    <w:rsid w:val="22B967B0"/>
    <w:rsid w:val="23EC4984"/>
    <w:rsid w:val="299707EE"/>
    <w:rsid w:val="30876E18"/>
    <w:rsid w:val="363426F9"/>
    <w:rsid w:val="38672F82"/>
    <w:rsid w:val="3D9529AB"/>
    <w:rsid w:val="44F74FD4"/>
    <w:rsid w:val="530B57A2"/>
    <w:rsid w:val="5AD747F1"/>
    <w:rsid w:val="65365A1F"/>
    <w:rsid w:val="682C7077"/>
    <w:rsid w:val="70EC3B9A"/>
    <w:rsid w:val="7234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spacing w:line="360" w:lineRule="auto"/>
      <w:ind w:firstLineChars="200" w:firstLine="48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HTML">
    <w:name w:val="HTML Preformatted"/>
    <w:basedOn w:val="a"/>
    <w:link w:val="HTMLChar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0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semiHidden/>
    <w:qFormat/>
    <w:rPr>
      <w:rFonts w:ascii="宋体" w:eastAsia="宋体" w:hAnsi="宋体" w:cs="Times New Roman"/>
      <w:sz w:val="24"/>
      <w:szCs w:val="24"/>
    </w:rPr>
  </w:style>
  <w:style w:type="paragraph" w:customStyle="1" w:styleId="msolistparagraph0">
    <w:name w:val="msolistparagraph"/>
    <w:basedOn w:val="a"/>
    <w:qFormat/>
    <w:pPr>
      <w:ind w:firstLineChars="200" w:firstLine="420"/>
    </w:p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spacing w:line="360" w:lineRule="auto"/>
      <w:ind w:firstLineChars="200" w:firstLine="48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HTML">
    <w:name w:val="HTML Preformatted"/>
    <w:basedOn w:val="a"/>
    <w:link w:val="HTMLChar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0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semiHidden/>
    <w:qFormat/>
    <w:rPr>
      <w:rFonts w:ascii="宋体" w:eastAsia="宋体" w:hAnsi="宋体" w:cs="Times New Roman"/>
      <w:sz w:val="24"/>
      <w:szCs w:val="24"/>
    </w:rPr>
  </w:style>
  <w:style w:type="paragraph" w:customStyle="1" w:styleId="msolistparagraph0">
    <w:name w:val="msolistparagraph"/>
    <w:basedOn w:val="a"/>
    <w:qFormat/>
    <w:pPr>
      <w:ind w:firstLineChars="200" w:firstLine="420"/>
    </w:p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221</Words>
  <Characters>1262</Characters>
  <Application>Microsoft Office Word</Application>
  <DocSecurity>0</DocSecurity>
  <Lines>10</Lines>
  <Paragraphs>2</Paragraphs>
  <ScaleCrop>false</ScaleCrop>
  <Company>神州网信技术有限公司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吕宏飞</cp:lastModifiedBy>
  <cp:revision>3</cp:revision>
  <dcterms:created xsi:type="dcterms:W3CDTF">2026-03-16T07:53:00Z</dcterms:created>
  <dcterms:modified xsi:type="dcterms:W3CDTF">2026-03-16T09:46:00Z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73CAEE87D70C43A09B280CBB8C1C1EE7_12</vt:lpwstr>
  </property>
</Properties>
</file>